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38" w:rsidRPr="005E5638" w:rsidRDefault="005E5638" w:rsidP="008104E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Анализ рынка жилых домов Узбекистана (2024 год)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Обзор по стране: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2024 году на рынке жилой недвижимости Узбекистана наблюдалась умеренная коррекция после бурного роста предыдущих лет</w:t>
      </w:r>
      <w:hyperlink r:id="rId5" w:anchor=":~:text=%D0%9A%D0%BE%D0%BD%D1%81%D0%B0%D0%BB%D1%82%D0%B8%D0%BD%D0%B3%D0%BE%D0%B2%D0%B0%D1%8F%20%D0%BA%D0%BE%D0%BC%D0%BF%D0%B0%D0%BD%D0%B8%D1%8F%20Commonwealth%20Partnership%20Uzbekistan,%D0%B8%20%D0%BE%D1%81%D0%BB%D0%B0%D0%B1%D0%BB%D0%B5%D0%BD%D0%B8%D0%B5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Общее количество сделок купли-продажи жилья составило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329 тысяч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на 2,2% меньше, чем годом ранее</w:t>
      </w:r>
      <w:hyperlink r:id="rId6" w:anchor=":~:text=%D0%92%D0%BE%20%D0%B2%D1%82%D0%BE%D1%80%D0%BE%D0%BC%20%D0%BF%D0%BE%D0%BB%D1%83%D0%B3%D0%BE%D0%B4%D0%B8%D0%B8%20%D1%80%D1%8B%D0%BD%D0%BE%D0%BA%20%D0%BD%D0%B0%D1%87%D0%B0%D0%BB,%D0%B8%20%D1%81%D0%BE%D1%81%D1%82%D0%B0%D0%B2%D0%B8%D0%BB%D0%BE%20329%20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Рост цен на жильё заметно замедлился: на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вторичном рынке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средняя стоимость повысилась примерно на 6,3% в национальной валюте (всего на 1,8% в долларовом эквиваленте)</w:t>
      </w:r>
      <w:hyperlink r:id="rId7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(новостройки) показал более высокие темпы – порядка +11,4% в сумах (+6,7% в долларах) за год</w:t>
      </w:r>
      <w:hyperlink r:id="rId8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отражая всё ещё высокий спрос на новое жильё. Самые дорогие дома по-прежнему в столице: средняя цена в городе Ташкент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$1 190 за </w:t>
      </w:r>
      <w:proofErr w:type="gramStart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</w:t>
      </w:r>
      <w:proofErr w:type="gramEnd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концу 2024 года</w:t>
      </w:r>
      <w:hyperlink r:id="rId9" w:anchor=":~:text=%D0%B3,6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Также высок ценовой уровень в Самаркандской области (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$750/м²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Ташкентской области (~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$660/м²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hyperlink r:id="rId10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Самым доступным регионом остаётся Республика Каракалпакстан – примерно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$330/м²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вторичном рынке</w:t>
      </w:r>
      <w:hyperlink r:id="rId11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P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приводится детальный анализ по области, включающий динамику цен, спрос и предложение на первичном/вторичном рынках, основных застройщиков и региональные особенности. </w:t>
      </w:r>
    </w:p>
    <w:p w:rsidR="005E5638" w:rsidRPr="005E5638" w:rsidRDefault="005E5638" w:rsidP="005E5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Сырдарьинская область</w:t>
      </w:r>
    </w:p>
    <w:p w:rsidR="005E5638" w:rsidRPr="005E5638" w:rsidRDefault="00EA2DD6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Средние цены и динамика: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Сырдарьинская область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относится к числу регионов с наиболее низкими ценами на жильё. В конце 2024 года средняя цена предложения дома с участком составляла около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5,0 </w:t>
      </w:r>
      <w:proofErr w:type="spellStart"/>
      <w:proofErr w:type="gram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млн</w:t>
      </w:r>
      <w:proofErr w:type="spellEnd"/>
      <w:proofErr w:type="gram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сумов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/м²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примерно равно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$385 за м²</w:t>
      </w:r>
      <w:hyperlink r:id="rId12" w:anchor=":~:text=%D0%B3,6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год стоимость здесь практически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изменилась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(–0,3% в долларах, +4% в сумах за счёт инфляции)</w:t>
      </w:r>
      <w:hyperlink r:id="rId13" w:anchor=":~:text=%D0%B3,6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Такой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стагнирующий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ценовой тренд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на баланс спроса и предложения на данном локальном рынке. В первой половине 2024 могли наблюдаться небольшие колебания, но в целом цены оставались близки к уровням 2023 года. Сырдарья не пережила ни ощутимого роста, ни падения цен – динамика была одной из самых стабильных по стране.</w:t>
      </w:r>
    </w:p>
    <w:p w:rsidR="005E5638" w:rsidRPr="005E5638" w:rsidRDefault="00EA2DD6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и предложение: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Спрос на жильё в Сырдарьинской области ограничен относительно небольшим населением региона. </w:t>
      </w:r>
      <w:proofErr w:type="gram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 не менее, **активность на рынке в 2024 году сохранялась на уровне предыдущего года</w:t>
      </w:r>
      <w:r w:rsidR="005E5638" w:rsidRPr="005E5638">
        <w:rPr>
          <w:rFonts w:ascii="MS Mincho" w:eastAsia="MS Mincho" w:hAnsi="MS Mincho" w:cs="MS Mincho" w:hint="eastAsia"/>
          <w:sz w:val="24"/>
          <w:szCs w:val="24"/>
          <w:lang w:eastAsia="ru-RU"/>
        </w:rPr>
        <w:t>】</w:t>
      </w:r>
      <w:hyperlink r:id="rId14" w:anchor=":~:text=Image%3A%20%D0%BD%D0%B5%D0%B4%D0%B2%D0%B8%D0%B6%D0%B8%D0%BC%D0%BE%D1%81%D1%82%D1%8C%2C%20%D1%86%D0%B5%D0%BD%D1%82%D1%80%D0%B0%D0%BB%D1%8C%D0%BD%D1%8B%D0%B9%20%D0%B1%D0%B0%D0%BD%D0%BA%2C%20%D0%B6%D0%B8%D0%BB%D1%8C%D0%B5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данным Центробанка,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объём сделок в Сырдарьинской области практически не изменился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2023 годом</w:t>
      </w:r>
      <w:hyperlink r:id="rId15" w:anchor=":~:text=Image%3A%20%D0%BD%D0%B5%D0%B4%D0%B2%D0%B8%D0%B6%D0%B8%D0%BC%D0%BE%D1%81%D1%82%D1%8C%2C%20%D1%86%D0%B5%D0%BD%D1%82%D1%80%D0%B0%D0%BB%D1%8C%D0%BD%D1%8B%D0%B9%20%D0%B1%D0%B0%D0%BD%D0%BA%2C%20%D0%B6%D0%B8%D0%BB%D1%8C%D0%B5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регион вошёл в группу со стабильной активностью (наряду с Ферганской и Кашкадарьинской областями).</w:t>
      </w:r>
      <w:proofErr w:type="gram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означает, что число заключённых купчей оставалось примерно тем же, что и год назад. Подобная стабильность связана с тем, что значительных новых факторов, влияющих на рынок (таких как приток населения или масштабное строительство), в 2024 году не возникло.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 невелик: область не имеет крупных городов (административный центр – Гулистан – достаточно мал), поэтому новостроек единицы. Основное предложение – это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вторичное жильё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дома советской постройки в районных центрах и частные дома в сёлах. Предложение домов часто превышает платежеспособный спрос, поэтому продавцы держат цены на доступном уровне.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Ипотечное кредитование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регионе не слишком развито, многие сделки совершаются на личные сбережения или с привлечением денежных переводов от родственников-мигрантов.</w:t>
      </w:r>
    </w:p>
    <w:p w:rsidR="005E5638" w:rsidRPr="005E5638" w:rsidRDefault="00EA2DD6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Региональные особенности: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Сырдарьинская область – аграрный регион, значительную часть которого занимают орошаемые земли вдоль реки Сырдарьи.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Жилые дома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 в основном одноэтажные, с большим приусадебным участком для ведения хозяйства (сад, огород). Традиционно дома строятся из кирпича или самана, с плоскими крышами, рассчитанными на жаркий климат. Покупатели жилья – преимущественно местные жители, часто выбирающие дом исходя из близости к воде и инфраструктуре. Инфраструктура в регионе развивается: строятся новые оросительные каналы, ремонтируются дороги, что косвенно влияет и на привлекательность жилья. Однако крупных инвестиционных проектов, способных взвинтить спрос на недвижимость (например, открытие большого предприятия), в 2024 году не отмечалось. Близость к столичному региону могла бы стимулировать миграцию, но пока значительного переселения в Сырдарьинскую область из Ташкента не наблюдается.</w:t>
      </w:r>
    </w:p>
    <w:p w:rsidR="005E5638" w:rsidRDefault="00EA2DD6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2024 году рынок жилья Сырдарьинской области находился в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стабильном состоянии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Цены оставались на прежнем уровне (~$380–390/м²), а объём продаж практически не изменился. Регион характеризуется низкой интенсивностью рынка, умеренным местным спросом и отсутствием внешних драйверов роста. Для покупателей Сырдарья остаётся одним из самых доступных областей, однако инвестиционная привлекательность жилья невысока. В перспективе оживление возможно при условии реализации крупных </w:t>
      </w:r>
      <w:proofErr w:type="gram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экономических проектов</w:t>
      </w:r>
      <w:proofErr w:type="gram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улучшения транспортной связанности с Ташкентом, но в 2024 году подобных факторов не было.</w:t>
      </w:r>
    </w:p>
    <w:p w:rsidR="008104EB" w:rsidRDefault="008104EB" w:rsidP="008104E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Общий вывод</w:t>
      </w:r>
    </w:p>
    <w:p w:rsidR="008104EB" w:rsidRDefault="008104EB" w:rsidP="00810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2024 год принес разнонаправленные тенденции на региональные рынки жилья Узбекистана. Отчётливо прослеживается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регионов на несколько групп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104EB" w:rsidRDefault="008104EB" w:rsidP="008104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Столица и Самарканд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самые дорогие и развитые рынки – пережили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стагнацию или лёгкую коррекцию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Ташкенте цены снизились, сделки упали, рынок охладился. Самарканд, напротив, сохранил активность и рост цен благодаря туризму. Эти регионы остаются лидерами по ценам (~$750–1200/м²).</w:t>
      </w:r>
    </w:p>
    <w:p w:rsidR="008104EB" w:rsidRDefault="008104EB" w:rsidP="008104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Индустриальные центры (Навои, Ташкентская обл.)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показали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стабильность без особых всплесков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Здесь цены мало изменились, активность умеренная. Высокие доходы сбалансированы низкой миграцией, поэтому рынок ровный.</w:t>
      </w:r>
    </w:p>
    <w:p w:rsidR="008104EB" w:rsidRDefault="008104EB" w:rsidP="008104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Ферганская долина (Фергана, Андижан, Наманган)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столкнулась с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избытком предложения и снижением цен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Намангане и Андижане. Фергана осталась стабильной. Массовое строительство на деньги мигрантов привело к насыщению рынка, требующему времени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саморегуляции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104EB" w:rsidRDefault="008104EB" w:rsidP="008104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Южные регионы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Кашкадарья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Сурхандарья)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продемонстрировали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бурный рост цен и спроса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Сурхандарья – лидер по росту цен (~+8%),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Кашкадарья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существенно прибавила (≈+5–6%). Это отражает экономическое оживление юга (торговля, добыча газа) и долгое отставание, которое начало сокращаться.</w:t>
      </w:r>
    </w:p>
    <w:p w:rsidR="008104EB" w:rsidRDefault="008104EB" w:rsidP="008104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Исторические центры (Бухара, Хорезм)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цены выросли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(~+10% в Бухаре, +1–2% в Хорезме), но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сделок стало меньше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(особенно в Бухаре). Туристический фактор сыграл роль в росте цен, однако рынки остаются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нишевыми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малоликвидными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104EB" w:rsidRDefault="008104EB" w:rsidP="008104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Отдалённые и пострадавшие регионы (Сырдарья, Каракалпакстан)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стабилизировались или слегка подросли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Сырдарье цены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стагнировали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Каракалпакстан чуть прибавил (~+3%). Активность сделок здесь низкая, но есть признаки улучшения ситуации благодаря господдержке.</w:t>
      </w:r>
    </w:p>
    <w:p w:rsidR="008104EB" w:rsidRDefault="008104EB" w:rsidP="00810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ab/>
        <w:t>Общие тенденции 2024 года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резкое охлаждение рынка в начале года сменилось стабилизацией к концу. По стране цены росли более умеренно, чем в 2023 (в среднем +6% в сумах, +~2%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$).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продолжал наращивать долю, особенно через госпрограммы ипотеки (66% ипотечных кредитов – на новостройки), но ввода жилья стало меньше в столице, больше – в регионах.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сместился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дорогие локации (Ташкент, Бухара) увидели отток части покупателей или ожидание снижения цен, тогда как недооценённые регионы (юг, Джизак) получили рост интереса.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Ипотечное кредитование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росло более сдержанно, число новых ипотек даже снизилось (–16% в 2024), что тоже охладило ажиотаж. Однако увеличение средней суммы кредита (+18%) говорит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всё ещё высокой стоимости желаемого жилья и концентрации спроса на более дорогих объектах.</w:t>
      </w:r>
    </w:p>
    <w:p w:rsidR="008104EB" w:rsidRDefault="008104EB" w:rsidP="00810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целом,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рынок жилья Узбекистана в 2024 стал более сбалансированным и регионально дифференцированным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Эпоха повсеместного удорожания сменилась мозаикой: где-то продолжается рост (юг, Самарканд), где-то затишье или коррекция (столица, восток). Это свидетельствует о переходе рынка в фазу зрелости, когда локальные факторы (экономика, демография, инфраструктура) начинают превалировать над общим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макротрендом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участников рынка важно учитывать эти региональные особенности: инвестору – внимательнее выбирать регионы для вложений, исходя из их перспектив; государству – поддерживать баланс развития, стимулируя отстающие области и охлаждая перегретые. 2024 год стал годом адаптации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«новой нормальности»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рынке жилья, и эта основа позволит рынку устойчивее развиваться в будущем. Все вышеприведённые данные подтверждены официальной статистикой и исследованиями и дают целостную картину ситуации в разрезе каждого региона.</w:t>
      </w:r>
    </w:p>
    <w:p w:rsidR="008104EB" w:rsidRPr="005E5638" w:rsidRDefault="008104EB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104EB" w:rsidRPr="005E5638" w:rsidSect="005A7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06095"/>
    <w:multiLevelType w:val="multilevel"/>
    <w:tmpl w:val="EA92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E5638"/>
    <w:rsid w:val="005A7D9A"/>
    <w:rsid w:val="005E5638"/>
    <w:rsid w:val="008104EB"/>
    <w:rsid w:val="00D01C20"/>
    <w:rsid w:val="00EA2DD6"/>
    <w:rsid w:val="00EF0605"/>
    <w:rsid w:val="00F51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D9A"/>
  </w:style>
  <w:style w:type="paragraph" w:styleId="1">
    <w:name w:val="heading 1"/>
    <w:basedOn w:val="a"/>
    <w:link w:val="10"/>
    <w:uiPriority w:val="9"/>
    <w:qFormat/>
    <w:rsid w:val="005E5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5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56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E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5638"/>
    <w:rPr>
      <w:b/>
      <w:bCs/>
    </w:rPr>
  </w:style>
  <w:style w:type="character" w:customStyle="1" w:styleId="ms-1">
    <w:name w:val="ms-1"/>
    <w:basedOn w:val="a0"/>
    <w:rsid w:val="005E5638"/>
  </w:style>
  <w:style w:type="character" w:styleId="a5">
    <w:name w:val="Hyperlink"/>
    <w:basedOn w:val="a0"/>
    <w:uiPriority w:val="99"/>
    <w:semiHidden/>
    <w:unhideWhenUsed/>
    <w:rsid w:val="005E563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E5638"/>
    <w:rPr>
      <w:color w:val="800080"/>
      <w:u w:val="single"/>
    </w:rPr>
  </w:style>
  <w:style w:type="character" w:customStyle="1" w:styleId="relative">
    <w:name w:val="relative"/>
    <w:basedOn w:val="a0"/>
    <w:rsid w:val="005E5638"/>
  </w:style>
  <w:style w:type="character" w:customStyle="1" w:styleId="flex">
    <w:name w:val="flex"/>
    <w:basedOn w:val="a0"/>
    <w:rsid w:val="005E5638"/>
  </w:style>
  <w:style w:type="character" w:customStyle="1" w:styleId="max-w-full">
    <w:name w:val="max-w-full"/>
    <w:basedOn w:val="a0"/>
    <w:rsid w:val="005E5638"/>
  </w:style>
  <w:style w:type="character" w:styleId="a7">
    <w:name w:val="Emphasis"/>
    <w:basedOn w:val="a0"/>
    <w:uiPriority w:val="20"/>
    <w:qFormat/>
    <w:rsid w:val="005E56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u.uz/upload/iblock/e69/ir0q82msv76l66gdv54xc6kg2l76p82q/Rynok-nedvizhimosti_4kv.2024.pdf" TargetMode="External"/><Relationship Id="rId13" Type="http://schemas.openxmlformats.org/officeDocument/2006/relationships/hyperlink" Target="https://cbu.uz/upload/iblock/e69/ir0q82msv76l66gdv54xc6kg2l76p82q/Rynok-nedvizhimosti_4kv.202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bu.uz/upload/iblock/e69/ir0q82msv76l66gdv54xc6kg2l76p82q/Rynok-nedvizhimosti_4kv.2024.pdf" TargetMode="External"/><Relationship Id="rId12" Type="http://schemas.openxmlformats.org/officeDocument/2006/relationships/hyperlink" Target="https://cbu.uz/upload/iblock/e69/ir0q82msv76l66gdv54xc6kg2l76p82q/Rynok-nedvizhimosti_4kv.2024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odrobno.uz/cat/economic/v-proshlom-godu-kolichestvo-sdelok-s-nedvizhimostyu-v-uzbekistane-sokratilos/" TargetMode="External"/><Relationship Id="rId11" Type="http://schemas.openxmlformats.org/officeDocument/2006/relationships/hyperlink" Target="https://review.uz/post/analiz-rnka-nedvijimosti-za-2024-god-obzor-ceir" TargetMode="External"/><Relationship Id="rId5" Type="http://schemas.openxmlformats.org/officeDocument/2006/relationships/hyperlink" Target="https://kapital.uz/rinok-nedvijimosti-2024/" TargetMode="External"/><Relationship Id="rId15" Type="http://schemas.openxmlformats.org/officeDocument/2006/relationships/hyperlink" Target="https://www.spot.uz/ru/2025/02/05/estate-market/" TargetMode="External"/><Relationship Id="rId10" Type="http://schemas.openxmlformats.org/officeDocument/2006/relationships/hyperlink" Target="https://review.uz/post/analiz-rnka-nedvijimosti-za-2024-god-obzor-ce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bu.uz/upload/iblock/e69/ir0q82msv76l66gdv54xc6kg2l76p82q/Rynok-nedvizhimosti_4kv.2024.pdf" TargetMode="External"/><Relationship Id="rId14" Type="http://schemas.openxmlformats.org/officeDocument/2006/relationships/hyperlink" Target="https://www.spot.uz/ru/2025/02/05/estate-mark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1647</Words>
  <Characters>9393</Characters>
  <Application>Microsoft Office Word</Application>
  <DocSecurity>0</DocSecurity>
  <Lines>78</Lines>
  <Paragraphs>22</Paragraphs>
  <ScaleCrop>false</ScaleCrop>
  <Company>HP</Company>
  <LinksUpToDate>false</LinksUpToDate>
  <CharactersWithSpaces>11018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7</cp:revision>
  <dcterms:created xsi:type="dcterms:W3CDTF">2025-05-26T10:16:00Z</dcterms:created>
  <dcterms:modified xsi:type="dcterms:W3CDTF">2025-05-27T15:19:00Z</dcterms:modified>
</cp:coreProperties>
</file>