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5E5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Ташкент (город)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Столичный рынок остаётся самым дорогим в стране: средняя цена предложения частного дома в городе Ташкент в декабре 2024 года составила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15,3 </w:t>
      </w:r>
      <w:proofErr w:type="spellStart"/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сумов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(≈$1 190)</w:t>
      </w:r>
      <w:hyperlink r:id="rId12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немного ниже уровня прошлого года – в долларовом эквиваленте снижение ~1,8% год к году (в сумах +2,5% из-за девальвации)</w:t>
      </w:r>
      <w:hyperlink r:id="rId13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в 2024 году цены на жилые дома в столице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слегка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скорректировались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вниз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периода бурного роста. По данным Центра экономических исследований и реформ, вторичное жильё в Ташкенте действительно подешевело примерно на 1,5–2,3% за год, до ~$1100–1200 за квадратный метр</w:t>
      </w:r>
      <w:hyperlink r:id="rId14" w:anchor=":~:text=%D0%92%20%D0%A2%D0%B0%D1%88%D0%BA%D0%B5%D0%BD%D1%82%D0%B5%20%D1%81%D1%82%D0%BE%D0%B8%D0%BC%D0%BE%D1%81%D1%82%D1%8C%20%D0%BD%D0%B0%20%D0%B2%D1%82%D0%BE%D1%80%D0%B8%D1%87%D0%BD%D0%BE%D0%B5,1%2C1%20%D1%82%D1%8B%D1%81%D1%8F%D1%87%D1%83%20%D0%B7%D0%B0%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Динамика цен была неравномерной: после быстрого роста 2020–2022 годов рынок стабилизировался; в первой половине 2024 наблюдались колебания, а к концу года –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умеренное снижение стоимости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жилья</w:t>
      </w:r>
      <w:hyperlink r:id="rId15" w:anchor=":~:text=%D0%A0%D1%8B%D0%BD%D0%BE%D0%BA%20%D0%B0%D0%B4%D0%B0%D0%BF%D1%82%D0%B8%D1%80%D0%BE%D0%B2%D0%B0%D0%BB%D1%81%D1%8F%20%D0%BA%20%D0%BD%D0%BE%D0%B2%D0%BE%D0%B9%20%D1%80%D0%B5%D0%B0%D0%BB%D1%8C%D0%BD%D0%BE%D1%81%D1%82%D0%B8%3A,%D0%B2%20%D0%BD%D0%B5%D0%BA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частности, по сравнению с февралем 2024 года, к февралю 2025-го средняя цена на вторичном рынке в Ташкенте упала ещё на 5,1%</w:t>
      </w:r>
      <w:hyperlink r:id="rId16" w:anchor=":~:text=%D0%98%D0%B7%D0%BC%D0%B5%D0%BD%D0%B5%D0%BD%D0%B8%D0%B5%20%D1%86%D0%B5%D0%BD%20%D0%BD%D0%B0%20%D0%B6%D0%B8%D0%BB%D1%8C%D0%B5%20%D0%B2,%D0%A2%D0%B0%D1%88%D0%BA%D0%B5%D0%BD%D1%82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отражая продолжение тренда на понижение.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Спрос, предложение и сделки: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активность покупателей в Ташкенте снизилась. </w:t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сделок купли-продажи жилья в городе сократилось заметнее, чем в большинстве регионов</w:t>
      </w:r>
      <w:hyperlink r:id="rId17" w:anchor=":~:text=Image%3A%20%D0%BD%D0%B5%D0%B4%D0%B2%D0%B8%D0%B6%D0%B8%D0%BC%D0%BE%D1%81%D1%82%D1%8C%2C%20%D1%86%D0%B5%D0%BD%D1%82%D1%80%D0%B0%D0%BB%D1%8C%D0%BD%D1%8B%D0%B9%20%D0%B1%D0%B0%D0%BD%D0%BA%2C%20%D0%B6%D0%B8%D0%BB%D1%8C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Согласно данным Центробанка,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Ташкент стал лидером по снижению количества сделок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здесь фиксировалось наиболее существенное падение спроса на недвижимость среди регионов</w:t>
      </w:r>
      <w:hyperlink r:id="rId18" w:anchor=":~:text=%D0%9F%D0%BE%20%D0%B4%D0%B0%D0%BD%D0%BD%D1%8B%D0%BC%20%D0%BE%D1%82%D1%87%D0%B5%D1%82%D0%B0%2C%20%D1%81%D0%BF%D1%80%D0%BE%D1%81%20%D0%BD%D0%B0,%D0%BE%D0%B1%D0%BB%D0%B0%D1%81%D1%82%D1%8F%D1%85%20%D0%BF%D0%BE%D0%BA%D0%B0%D0%B7%D0%B0%D1%82%D0%B5%D0%BB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Общий объём сделок в столице уменьшился на фоне снижения покупательной способности населения и насыщения рынка новостройками предыдущих лет</w:t>
      </w:r>
      <w:proofErr w:type="gramEnd"/>
      <w:r w:rsidR="004B7D68">
        <w:fldChar w:fldCharType="begin"/>
      </w:r>
      <w:r w:rsidR="007254C1">
        <w:instrText>HYPERLINK "https://kapital.uz/rinok-nedvijimosti-2024/" \l ":~:text=%D0%94%D0%BE%202023%20%D0%B3%D0%BE%D0%B4%D0%B0%20%D1%81%D0%BF%D1%80%D0%BE%D1%81%20%D0%BD%D0%B0,%D0%BF%D0%B5%D1%80%D0%B5%D1%85%D0%BE%D0%B4%D1%83%20%D1%80%D1%8B%D0%BD%D0%BA%D0%B0%20%D0%B2%20%D1%81%D1%82%D0%B0%D0%B4%D0%B8%D1%8E%20%D0%BA%D0%BE%D1%80%D" \t "_blank"</w:instrText>
      </w:r>
      <w:r w:rsidR="004B7D68">
        <w:fldChar w:fldCharType="end"/>
      </w:r>
      <w:hyperlink r:id="rId19" w:anchor=":~:text=%D0%A0%D1%8B%D0%BD%D0%BE%D0%BA%20%D0%B0%D0%B4%D0%B0%D0%BF%D1%82%D0%B8%D1%80%D0%BE%D0%B2%D0%B0%D0%BB%D1%81%D1%8F%20%D0%BA%20%D0%BD%D0%BE%D0%B2%D0%BE%D0%B9%20%D1%80%D0%B5%D0%B0%D0%BB%D1%8C%D0%BD%D0%BE%D1%81%D1%82%D0%B8%3A,%D0%B2%20%D0%BD%D0%B5%D0%BA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во 2-й половине 2024 года рынок начал стабилизироваться: в IV квартале количество сделок в столице даже немного выросло относительно провала начала года, но суммарно за год осталось ниже уровня 2023</w:t>
      </w:r>
      <w:hyperlink r:id="rId20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на первичном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было ограниченным – ввод новых объектов жилья в Ташкенте за первые 6 месяцев оказался минимальным за последние 3 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года</w:t>
      </w:r>
      <w:hyperlink r:id="rId21" w:anchor=":~:text=%D0%92%202024%20%D0%B3%D0%BE%D0%B4%D1%83%20%D1%80%D1%8B%D0%BD%D0%BE%D0%BA%20%D0%BD%D0%B5%D0%B4%D0%B2%D0%B8%D0%B6%D0%B8%D0%BC%D0%BE%D1%81%D1%82%D0%B8,%D1%81%D0%BD%D0%B8%D0%B6%D0%B0%D1%82%D1%8C%D1%81%D1%8F%2C%20%D0%BD%D0%B5%D1%81%D0%BC%D0%BE%D1%82%D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Застройщики притормозили запуск новых проектов, что частично связано с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распроданностью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основных объёмов жилья прошлых лет и ожиданием рынка</w:t>
      </w:r>
      <w:hyperlink r:id="rId22" w:anchor=":~:text=%D0%94%D0%BE%202023%20%D0%B3%D0%BE%D0%B4%D0%B0%20%D1%81%D0%BF%D1%80%D0%BE%D1%81%20%D0%BD%D0%B0,%D0%BF%D0%B5%D1%80%D0%B5%D1%85%D0%BE%D0%B4%D1%83%20%D1%80%D1%8B%D0%BD%D0%BA%D0%B0%20%D0%B2%20%D1%81%D1%82%D0%B0%D0%B4%D0%B8%D1%8E%20%D0%BA%D0%BE%D1%80%D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уже к концу года заметно оживилось строительство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экологичных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малоэтажных комплексов: например,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началось возведение новых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коттеджных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посёлков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использованием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энергоэффективных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материалов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привлекающих покупателей, ориентированных на современное “зелёное” жильё</w:t>
      </w:r>
      <w:hyperlink r:id="rId23" w:anchor=":~:text=%D0%92%202024%20%D0%B3%D0%BE%D0%B4%D1%83%20%D0%B2%20%D0%A2%D0%B0%D1%88%D0%BA%D0%B5%D0%BD%D1%82%D0%B5,%D0%B8%D1%89%D1%83%D1%89%D0%B8%D1%85%20%D1%81%D0%BE%D0%B2%D1%80%D0%B5%D0%BC%D0%B5%D0%BD%D0%BD%D0%BE%D0%B5%20%D0%B8%20%D1%8D%D0%BD%D0%B5%D1%80%D0%B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предложение формировалось в основном из домов старой постройки в центральных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махаллях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коттеджей в престижных районах. В отдельных районах города цены просели сильнее: например, за 2024 год во внутренних частях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Мирзо-Улугбекского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Чиланзарского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Яшнабадского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районов вторичное жильё подешевело на 6–8%</w:t>
      </w:r>
      <w:hyperlink r:id="rId24" w:anchor=":~:text=%D1%80%D1%8B%D0%BD%D0%BA%D0%B5%20%D1%83%D0%BF%D0%B0%D0%BB%D0%B0%20%D0%BD%D0%B0%205%2C1,%D0%BF%D0%B5%D1%80%D0%B2%D0%B8%D1%87%D0%BD%D0%BE%D0%BC%20%D0%BB%D0%B8%D1%88%D1%8C%20%D0%BD%D0%B0%203%2C1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отражает избирательность спроса (покупатели предпочитают более новые и хорошо расположенные объекты).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ташкентском рынке работают крупнейшие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девелоперы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страны. Среди лидеров – компания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Golden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House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более 13 лет занимающаяся проектированием и строительством современного жилья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премиу</w:t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бизнес-класса</w:t>
      </w:r>
      <w:proofErr w:type="spellEnd"/>
      <w:r w:rsidR="004B7D6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"https://xn--b1agapfwapgcl.xn--p1ai/top-10-krupnejshih-zastrojshhikov-uzbekistana/" \l ":~:text=1" \t "_blank" </w:instrText>
      </w:r>
      <w:r w:rsidR="004B7D6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активна компания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Life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специализирующаяся на комфортном современном жилье эконом- и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комфорт-класса</w:t>
      </w:r>
      <w:proofErr w:type="spellEnd"/>
      <w:r w:rsidR="004B7D6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"https://xn--b1agapfwapgcl.xn--p1ai/top-10-krupnejshih-zastrojshhikov-uzbekistana/" \l ":~:text=2" \t "_blank" </w:instrText>
      </w:r>
      <w:r w:rsidR="004B7D6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и другие застройщики (такие как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Grand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Capital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Namuna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Binar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 реализуют масштабные жилые комплексы в городе, включая высотные многоквартирные дома с улучшенной инфраструктурой. Стоит отметить и отечественного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девелопера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Murad</w:t>
      </w:r>
      <w:proofErr w:type="spell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Buildings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прославившегося амбициозными проектами многоэтажных комплексов (например, «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Nest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One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»). В секторе индивидуальных домов с земельными участками крупные компании представлены меньше – здесь преобладают либо элитные коттеджи от небольших строительных фирм, либо частное строительство. Тем не менее, совокупная доля первичного рынка в общем объёме сделок в столице достаточно велика за счёт квартир: например, в ипотечном кредитовании доля новостроек в Ташкенте достигла ~66% к 2024 году (против ~59% в 2023)</w:t>
      </w:r>
      <w:hyperlink r:id="rId25" w:anchor=":~:text=%D0%92%202024%20%D0%B3%D0%BE%D0%B4%D1%83%20%D0%BA%D0%BE%D0%BB%D0%B8%D1%87%D0%B5%D1%81%D1%82%D0%B2%D0%BE%20%D0%B8%D0%BF%D0%BE%D1%82%D0%B5%D1%87%D0%BD%D1%8B%D1%85,%D0%B0%20%D1%87%D0%B8%D1%81%D0%BB%D0%BE%20%D0%BC%D0%BE%D0%BB%D0%BE%D0%B4%D1%8B%D1%85%2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косвенно указывает на высокую роль застройщиков.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Будучи политическим и экономическим центром страны,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Ташкент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притягивает внутреннюю миграцию и инвестиции, что исторически поддерживает высокий спрос на жильё. Архитектура столичных частных домов разнообразна: от старых одноэтажных домов в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махаллях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старого города до современных особняков в новых районах. Ограниченное предложение земли и плотная застройка ведут к тому, что многие покупатели, стремящиеся к собственному дому, рассматривают пригородные зоны в Ташкентской области. Инфраструктура столицы – лучшая в стране (качественные дороги, коммуникации, социальные объекты), поэтому жильё здесь остаётся наиболее ликвидным. При этом в 2024 году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заметился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интерес к </w:t>
      </w:r>
      <w:proofErr w:type="spell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эко-домам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энергосберегающим технологиям – тренд, появившийся под влиянием мировых стандартов и поддержанный несколькими </w:t>
      </w:r>
      <w:proofErr w:type="spell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пилотными</w:t>
      </w:r>
      <w:proofErr w:type="spellEnd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проектами в городе.</w:t>
      </w:r>
    </w:p>
    <w:p w:rsidR="005E5638" w:rsidRDefault="005E5638" w:rsidP="007B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жилья в городе Ташкент в 2024 году перешёл в фазу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стагнации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нескольких лет бурного роста. Цены на частные дома с участком слегка снизились (~1–2%), число сделок уменьшилось, а объём нового строительства сократился до минимума. Тем не менее, фундаментальные факторы (рост населения, урбанизация, высокие доходы столицы) обеспечивают сохранение базового спроса. Стабилизация цен сделала жильё немного более доступным для покупателей</w:t>
      </w:r>
      <w:hyperlink r:id="rId26" w:anchor=":~:text=%D0%A1%D1%82%D0%B0%D0%B1%D0%B8%D0%BB%D0%B8%D0%B7%D0%B0%D1%86%D0%B8%D1%8F%20%D1%86%D0%B5%D0%BD%20%D0%B8%20%D1%83%D0%BC%D0%B5%D1%80%D0%B5%D0%BD%D0%BD%D0%BE%D0%B5%20%D1%81%D0%BD%D0%B8%D0%B6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Ожидается, что в 2025 году столичный рынок останется относительно стабильным, без резких скачков цен или сделок</w:t>
      </w:r>
      <w:hyperlink r:id="rId27" w:anchor=":~:text=%D0%9F%D0%BE%20%D0%BC%D0%BD%D0%B5%D0%BD%D0%B8%D1%8E%20%D0%B0%D0%BD%D0%B0%D0%BB%D0%B8%D1%82%D0%B8%D0%BA%D0%BE%D0%B2%20CMWP%2C%20%D0%B2,%D0%B3%D0%BE%D0%B4%D0%BE%D0%B2%20%D0%B2%D1%80%D1%8F%D0%B4%20%D0%BB%D0%B8%20%D0%B1%D1%83%D0%B4%D1%83%D1%82%20%D0%B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Ташкент удерживает статус самого дорогого и привлекательного рынка жилья, но покупатели стали более осторожны, а рынок – более сбалансированным.</w:t>
      </w:r>
    </w:p>
    <w:p w:rsidR="00BB1B3C" w:rsidRDefault="00BB1B3C" w:rsidP="00BB1B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BB1B3C" w:rsidRDefault="00BB1B3C" w:rsidP="00BB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1B3C" w:rsidRDefault="00BB1B3C" w:rsidP="00BB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BB1B3C" w:rsidRDefault="00BB1B3C" w:rsidP="00BB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BB1B3C" w:rsidRDefault="00BB1B3C" w:rsidP="00BB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B3C" w:rsidRDefault="00BB1B3C" w:rsidP="00BB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BB1B3C" w:rsidRDefault="00BB1B3C" w:rsidP="00BB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B3C" w:rsidRDefault="00BB1B3C" w:rsidP="00BB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BB1B3C" w:rsidRDefault="00BB1B3C" w:rsidP="00BB1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BB1B3C" w:rsidRPr="005E5638" w:rsidRDefault="00BB1B3C" w:rsidP="007B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sectPr w:rsidR="00BB1B3C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3E7411"/>
    <w:rsid w:val="004B7D68"/>
    <w:rsid w:val="005A7D9A"/>
    <w:rsid w:val="005E5638"/>
    <w:rsid w:val="007254C1"/>
    <w:rsid w:val="007B2AF4"/>
    <w:rsid w:val="00BB1B3C"/>
    <w:rsid w:val="00D01C20"/>
    <w:rsid w:val="00FC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hyperlink" Target="https://podrobno.uz/cat/economic/v-proshlom-godu-kolichestvo-sdelok-s-nedvizhimostyu-v-uzbekistane-sokratilos/" TargetMode="External"/><Relationship Id="rId26" Type="http://schemas.openxmlformats.org/officeDocument/2006/relationships/hyperlink" Target="https://kapital.uz/rinok-nedvijimosti-202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pital.uz/rinok-nedvijimosti-2024/" TargetMode="Externa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www.spot.uz/ru/2025/02/05/estate-market/" TargetMode="External"/><Relationship Id="rId25" Type="http://schemas.openxmlformats.org/officeDocument/2006/relationships/hyperlink" Target="https://podrobno.uz/cat/economic/v-proshlom-godu-kolichestvo-sdelok-s-nedvizhimostyu-v-uzbekistane-sokratil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va24.uz/money/kak-izmenilis-ceny-na-kvartiry-v-uzbekistane/" TargetMode="External"/><Relationship Id="rId20" Type="http://schemas.openxmlformats.org/officeDocument/2006/relationships/hyperlink" Target="https://podrobno.uz/cat/economic/v-proshlom-godu-kolichestvo-sdelok-s-nedvizhimostyu-v-uzbekistane-sokratilo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24" Type="http://schemas.openxmlformats.org/officeDocument/2006/relationships/hyperlink" Target="https://nova24.uz/money/kak-izmenilis-ceny-na-kvartiry-v-uzbekistane/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kapital.uz/rinok-nedvijimosti-2024/" TargetMode="External"/><Relationship Id="rId23" Type="http://schemas.openxmlformats.org/officeDocument/2006/relationships/hyperlink" Target="https://upl.uz/economy/51405-new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hyperlink" Target="https://kapital.uz/rinok-nedvijimosti-202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review.uz/post/analiz-rnka-nedvijimosti-za-2024-god-obzor-ceir" TargetMode="External"/><Relationship Id="rId22" Type="http://schemas.openxmlformats.org/officeDocument/2006/relationships/hyperlink" Target="https://kapital.uz/rinok-nedvijimosti-2024/" TargetMode="External"/><Relationship Id="rId27" Type="http://schemas.openxmlformats.org/officeDocument/2006/relationships/hyperlink" Target="https://kapital.uz/rinok-nedvijimosti-20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2646</Words>
  <Characters>15087</Characters>
  <Application>Microsoft Office Word</Application>
  <DocSecurity>0</DocSecurity>
  <Lines>125</Lines>
  <Paragraphs>35</Paragraphs>
  <ScaleCrop>false</ScaleCrop>
  <Company>HP</Company>
  <LinksUpToDate>false</LinksUpToDate>
  <CharactersWithSpaces>17698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9</cp:revision>
  <dcterms:created xsi:type="dcterms:W3CDTF">2025-05-26T10:16:00Z</dcterms:created>
  <dcterms:modified xsi:type="dcterms:W3CDTF">2025-05-27T15:20:00Z</dcterms:modified>
</cp:coreProperties>
</file>