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rt-direction-sheet-نسخه-0.1"/>
    <w:p>
      <w:pPr>
        <w:pStyle w:val="Heading1"/>
      </w:pPr>
      <w:r>
        <w:t xml:space="preserve">Art Direction Sheet — نسخه 0.1</w:t>
      </w:r>
    </w:p>
    <w:bookmarkStart w:id="9" w:name="معرفی-پروژه"/>
    <w:p>
      <w:pPr>
        <w:pStyle w:val="Heading2"/>
      </w:pPr>
      <w:r>
        <w:t xml:space="preserve">1) معرفی پروژه</w:t>
      </w:r>
    </w:p>
    <w:p>
      <w:pPr>
        <w:pStyle w:val="FirstParagraph"/>
      </w:pPr>
      <w:r>
        <w:t xml:space="preserve">این پروژه یک بازی موبایلی 2D در ژانر کیمیاگری/عطاری است که از نظر ساختار کلی، بر تجربه‌ی کشف، ترکیب مواد و ساخت معجون تکیه دارد، اما از نظر هویت بصری، جهان، مواد، روایت و لحن، ریشه در افسانه‌ها، فضاهای سنتی و عناصر فرهنگی ایرانی دارد.</w:t>
      </w:r>
    </w:p>
    <w:p>
      <w:pPr>
        <w:pStyle w:val="BodyText"/>
      </w:pPr>
      <w:r>
        <w:t xml:space="preserve">هدف این سند، تعریف هویت بصری اولیه‌ی پروژه است تا تمام طراحی‌های بعدی — از محیط و ابزارها گرفته تا مواد، شخصیت‌ها، رابط کاربری و افکت‌ها — در یک زبان تصویری منسجم شکل بگیرند.</w:t>
      </w:r>
    </w:p>
    <w:p>
      <w:r>
        <w:pict>
          <v:rect style="width:0;height:1.5pt" o:hralign="center" o:hrstd="t" o:hr="t"/>
        </w:pict>
      </w:r>
    </w:p>
    <w:bookmarkEnd w:id="9"/>
    <w:bookmarkStart w:id="13" w:name="ستونهای-هویتی-creative-pillars"/>
    <w:p>
      <w:pPr>
        <w:pStyle w:val="Heading2"/>
      </w:pPr>
      <w:r>
        <w:t xml:space="preserve">2) ستون‌های هویتی (Creative Pillars)</w:t>
      </w:r>
    </w:p>
    <w:bookmarkStart w:id="10" w:name="سنتی"/>
    <w:p>
      <w:pPr>
        <w:pStyle w:val="Heading3"/>
      </w:pPr>
      <w:r>
        <w:t xml:space="preserve">2.1 سنتی</w:t>
      </w:r>
    </w:p>
    <w:p>
      <w:pPr>
        <w:pStyle w:val="FirstParagraph"/>
      </w:pPr>
      <w:r>
        <w:t xml:space="preserve">جهان بازی باید از نظر حس و بافت، یادآور ایران قدیم، عطاری‌ها، دکان‌های کهن، نسخه‌های خطی، معماری سنتی، رنگ‌های اصیل و اشیای دست‌ساز باشد.</w:t>
      </w:r>
    </w:p>
    <w:bookmarkEnd w:id="10"/>
    <w:bookmarkStart w:id="11" w:name="رازآلود"/>
    <w:p>
      <w:pPr>
        <w:pStyle w:val="Heading3"/>
      </w:pPr>
      <w:r>
        <w:t xml:space="preserve">2.2 رازآلود</w:t>
      </w:r>
    </w:p>
    <w:p>
      <w:pPr>
        <w:pStyle w:val="FirstParagraph"/>
      </w:pPr>
      <w:r>
        <w:t xml:space="preserve">فضا باید در دل خود حس کشف، پنهان‌بودن، دانشی قدیمی، فرمول‌های ناشناخته و نیروهای نادیدنی را منتقل کند.</w:t>
      </w:r>
    </w:p>
    <w:bookmarkEnd w:id="11"/>
    <w:bookmarkStart w:id="12" w:name="افسانهای"/>
    <w:p>
      <w:pPr>
        <w:pStyle w:val="Heading3"/>
      </w:pPr>
      <w:r>
        <w:t xml:space="preserve">2.3 افسانه‌ای</w:t>
      </w:r>
    </w:p>
    <w:p>
      <w:pPr>
        <w:pStyle w:val="FirstParagraph"/>
      </w:pPr>
      <w:r>
        <w:t xml:space="preserve">در کنار ریشه‌های تاریخی، بازی باید اجازه دهد عناصر اسطوره‌ای و خیال‌انگیز وارد جهان آن شوند؛ مانند مواد نادر، موجودات افسانه‌ای، روایت‌های کهن و اشیای غیرعادی.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جایگاه-بازی-در-طیف-بصری"/>
    <w:p>
      <w:pPr>
        <w:pStyle w:val="Heading2"/>
      </w:pPr>
      <w:r>
        <w:t xml:space="preserve">3) جایگاه بازی در طیف بصری</w:t>
      </w:r>
    </w:p>
    <w:p>
      <w:pPr>
        <w:pStyle w:val="FirstParagraph"/>
      </w:pPr>
      <w:r>
        <w:t xml:space="preserve">این بازی از نظر ظاهر نه یک بازسازی تاریخی سخت‌گیرانه است و نه یک فانتزی کاملاً آزاد و غربی. جایگاه آن به‌صورت زیر تعریف می‌شود:</w:t>
      </w:r>
    </w:p>
    <w:p>
      <w:pPr>
        <w:pStyle w:val="BodyText"/>
      </w:pPr>
      <w:r>
        <w:rPr>
          <w:b/>
          <w:bCs/>
        </w:rPr>
        <w:t xml:space="preserve">الهام تاریخی + اجرای افسانه‌ای</w:t>
      </w:r>
    </w:p>
    <w:p>
      <w:pPr>
        <w:pStyle w:val="BodyText"/>
      </w:pPr>
      <w:r>
        <w:t xml:space="preserve">یعنی:</w:t>
      </w:r>
    </w:p>
    <w:p>
      <w:pPr>
        <w:pStyle w:val="Compact"/>
        <w:numPr>
          <w:ilvl w:val="0"/>
          <w:numId w:val="1001"/>
        </w:numPr>
      </w:pPr>
      <w:r>
        <w:t xml:space="preserve">فرم‌ها، معماری، اشیا و پوشش‌ها از تاریخ و فرهنگ ایرانی الهام می‌گیرند</w:t>
      </w:r>
    </w:p>
    <w:p>
      <w:pPr>
        <w:pStyle w:val="Compact"/>
        <w:numPr>
          <w:ilvl w:val="0"/>
          <w:numId w:val="1001"/>
        </w:numPr>
      </w:pPr>
      <w:r>
        <w:t xml:space="preserve">اما بازی خود را به دوره‌ای دقیق و مستند محدود نمی‌کند</w:t>
      </w:r>
    </w:p>
    <w:p>
      <w:pPr>
        <w:pStyle w:val="Compact"/>
        <w:numPr>
          <w:ilvl w:val="0"/>
          <w:numId w:val="1001"/>
        </w:numPr>
      </w:pPr>
      <w:r>
        <w:t xml:space="preserve">جزئیات فانتزی و افسانه‌ای مجاز و مطلوب‌اند، به‌شرط آنکه در همان زبان بصری ایرانی حل شوند</w:t>
      </w:r>
    </w:p>
    <w:p>
      <w:r>
        <w:pict>
          <v:rect style="width:0;height:1.5pt" o:hralign="center" o:hrstd="t" o:hr="t"/>
        </w:pict>
      </w:r>
    </w:p>
    <w:bookmarkEnd w:id="14"/>
    <w:bookmarkStart w:id="16" w:name="سبک-تصویری-visual-style"/>
    <w:p>
      <w:pPr>
        <w:pStyle w:val="Heading2"/>
      </w:pPr>
      <w:r>
        <w:t xml:space="preserve">4) سبک تصویری (Visual Style)</w:t>
      </w:r>
    </w:p>
    <w:p>
      <w:pPr>
        <w:pStyle w:val="FirstParagraph"/>
      </w:pPr>
      <w:r>
        <w:t xml:space="preserve">سبک تصویری بازی به‌صورت زیر تعریف می‌شود:</w:t>
      </w:r>
    </w:p>
    <w:p>
      <w:pPr>
        <w:pStyle w:val="BodyText"/>
      </w:pPr>
      <w:r>
        <w:rPr>
          <w:b/>
          <w:bCs/>
        </w:rPr>
        <w:t xml:space="preserve">2D Stylized Painterly</w:t>
      </w:r>
      <w:r>
        <w:br/>
      </w:r>
      <w:r>
        <w:t xml:space="preserve">با الهام از:</w:t>
      </w:r>
    </w:p>
    <w:p>
      <w:pPr>
        <w:pStyle w:val="Compact"/>
        <w:numPr>
          <w:ilvl w:val="0"/>
          <w:numId w:val="1002"/>
        </w:numPr>
      </w:pPr>
      <w:r>
        <w:t xml:space="preserve">نگارگری ایرانی</w:t>
      </w:r>
    </w:p>
    <w:p>
      <w:pPr>
        <w:pStyle w:val="Compact"/>
        <w:numPr>
          <w:ilvl w:val="0"/>
          <w:numId w:val="1002"/>
        </w:numPr>
      </w:pPr>
      <w:r>
        <w:t xml:space="preserve">نسخه‌های خطی و طبی/کیمیاگری سنتی</w:t>
      </w:r>
    </w:p>
    <w:p>
      <w:pPr>
        <w:pStyle w:val="Compact"/>
        <w:numPr>
          <w:ilvl w:val="0"/>
          <w:numId w:val="1002"/>
        </w:numPr>
      </w:pPr>
      <w:r>
        <w:t xml:space="preserve">بافت کاغذ، رنگ‌دانه و سطوح دست‌ساز</w:t>
      </w:r>
    </w:p>
    <w:p>
      <w:pPr>
        <w:pStyle w:val="Compact"/>
        <w:numPr>
          <w:ilvl w:val="0"/>
          <w:numId w:val="1002"/>
        </w:numPr>
      </w:pPr>
      <w:r>
        <w:t xml:space="preserve">نقاشی دیجیتال نرم و معاصر</w:t>
      </w:r>
    </w:p>
    <w:bookmarkStart w:id="15" w:name="ویژگیهای-سبک"/>
    <w:p>
      <w:pPr>
        <w:pStyle w:val="Heading3"/>
      </w:pPr>
      <w:r>
        <w:t xml:space="preserve">ویژگی‌های سبک</w:t>
      </w:r>
    </w:p>
    <w:p>
      <w:pPr>
        <w:pStyle w:val="Compact"/>
        <w:numPr>
          <w:ilvl w:val="0"/>
          <w:numId w:val="1003"/>
        </w:numPr>
      </w:pPr>
      <w:r>
        <w:t xml:space="preserve">فرم‌ها خوانا و stylized باشند، نه واقع‌گرایانه‌ی سخت</w:t>
      </w:r>
    </w:p>
    <w:p>
      <w:pPr>
        <w:pStyle w:val="Compact"/>
        <w:numPr>
          <w:ilvl w:val="0"/>
          <w:numId w:val="1003"/>
        </w:numPr>
      </w:pPr>
      <w:r>
        <w:t xml:space="preserve">خطوط می‌توانند نرم و کنترل‌شده باشند، نه خیلی کارتونی و نه بیش از حد مهندسی</w:t>
      </w:r>
    </w:p>
    <w:p>
      <w:pPr>
        <w:pStyle w:val="Compact"/>
        <w:numPr>
          <w:ilvl w:val="0"/>
          <w:numId w:val="1003"/>
        </w:numPr>
      </w:pPr>
      <w:r>
        <w:t xml:space="preserve">بافت‌ها باید محسوس باشند، اما تصویر را شلوغ یا کثیف نکنند</w:t>
      </w:r>
    </w:p>
    <w:p>
      <w:pPr>
        <w:pStyle w:val="Compact"/>
        <w:numPr>
          <w:ilvl w:val="0"/>
          <w:numId w:val="1003"/>
        </w:numPr>
      </w:pPr>
      <w:r>
        <w:t xml:space="preserve">سطوح و اشیا حس «دست‌ساخته» و «قدیمی» داشته باشند</w:t>
      </w:r>
    </w:p>
    <w:p>
      <w:pPr>
        <w:pStyle w:val="Compact"/>
        <w:numPr>
          <w:ilvl w:val="0"/>
          <w:numId w:val="1003"/>
        </w:numPr>
      </w:pPr>
      <w:r>
        <w:t xml:space="preserve">درخشش‌های جادویی باید محدود، شاعرانه و باوقار باشند، نه پرزرق‌وبرق و فانتزیِ شلوغ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زاویه-دید-و-ترکیببندی"/>
    <w:p>
      <w:pPr>
        <w:pStyle w:val="Heading2"/>
      </w:pPr>
      <w:r>
        <w:t xml:space="preserve">5) زاویه دید و ترکیب‌بندی</w:t>
      </w:r>
    </w:p>
    <w:bookmarkStart w:id="17" w:name="زاویه-دید-اصلی"/>
    <w:p>
      <w:pPr>
        <w:pStyle w:val="Heading3"/>
      </w:pPr>
      <w:r>
        <w:t xml:space="preserve">زاویه دید اصلی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روبرو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سه‌رخ</w:t>
      </w:r>
    </w:p>
    <w:p>
      <w:pPr>
        <w:pStyle w:val="FirstParagraph"/>
      </w:pPr>
      <w:r>
        <w:t xml:space="preserve">این دو زاویه باید مبنای طراحی محیط‌ها، ابزارها، قفسه‌ها، شخصیت‌ها و صحنه‌های کلیدی باشند.</w:t>
      </w:r>
    </w:p>
    <w:bookmarkEnd w:id="17"/>
    <w:bookmarkStart w:id="18" w:name="دلیل-انتخاب"/>
    <w:p>
      <w:pPr>
        <w:pStyle w:val="Heading3"/>
      </w:pPr>
      <w:r>
        <w:t xml:space="preserve">دلیل انتخاب</w:t>
      </w:r>
    </w:p>
    <w:p>
      <w:pPr>
        <w:pStyle w:val="Compact"/>
        <w:numPr>
          <w:ilvl w:val="0"/>
          <w:numId w:val="1005"/>
        </w:numPr>
      </w:pPr>
      <w:r>
        <w:t xml:space="preserve">حس ویترینی و نمایشی خوبی برای موبایل ایجاد می‌کند</w:t>
      </w:r>
    </w:p>
    <w:p>
      <w:pPr>
        <w:pStyle w:val="Compact"/>
        <w:numPr>
          <w:ilvl w:val="0"/>
          <w:numId w:val="1005"/>
        </w:numPr>
      </w:pPr>
      <w:r>
        <w:t xml:space="preserve">برای نمایش دکان، ابزارها و تعاملات لمسی مناسب است</w:t>
      </w:r>
    </w:p>
    <w:p>
      <w:pPr>
        <w:pStyle w:val="Compact"/>
        <w:numPr>
          <w:ilvl w:val="0"/>
          <w:numId w:val="1005"/>
        </w:numPr>
      </w:pPr>
      <w:r>
        <w:t xml:space="preserve">با زیبایی‌شناسی نگارگری و تصویرسازی سنتی سازگارتر است</w:t>
      </w:r>
    </w:p>
    <w:p>
      <w:pPr>
        <w:pStyle w:val="Compact"/>
        <w:numPr>
          <w:ilvl w:val="0"/>
          <w:numId w:val="1005"/>
        </w:numPr>
      </w:pPr>
      <w:r>
        <w:t xml:space="preserve">اجازه می‌دهد چیدمان محیطی قابل‌خواندن و تزئینی باشد</w:t>
      </w:r>
    </w:p>
    <w:bookmarkEnd w:id="18"/>
    <w:bookmarkStart w:id="19" w:name="اصول-ترکیببندی"/>
    <w:p>
      <w:pPr>
        <w:pStyle w:val="Heading3"/>
      </w:pPr>
      <w:r>
        <w:t xml:space="preserve">اصول ترکیب‌بندی</w:t>
      </w:r>
    </w:p>
    <w:p>
      <w:pPr>
        <w:pStyle w:val="Compact"/>
        <w:numPr>
          <w:ilvl w:val="0"/>
          <w:numId w:val="1006"/>
        </w:numPr>
      </w:pPr>
      <w:r>
        <w:t xml:space="preserve">مرکز توجه باید واضح باشد</w:t>
      </w:r>
    </w:p>
    <w:p>
      <w:pPr>
        <w:pStyle w:val="Compact"/>
        <w:numPr>
          <w:ilvl w:val="0"/>
          <w:numId w:val="1006"/>
        </w:numPr>
      </w:pPr>
      <w:r>
        <w:t xml:space="preserve">اشیای مهم باید سیلوئت مشخص داشته باشند</w:t>
      </w:r>
    </w:p>
    <w:p>
      <w:pPr>
        <w:pStyle w:val="Compact"/>
        <w:numPr>
          <w:ilvl w:val="0"/>
          <w:numId w:val="1006"/>
        </w:numPr>
      </w:pPr>
      <w:r>
        <w:t xml:space="preserve">محیط باید غنی باشد، اما خوانایی عناصر قابل تعامل حفظ شود</w:t>
      </w:r>
    </w:p>
    <w:p>
      <w:pPr>
        <w:pStyle w:val="Compact"/>
        <w:numPr>
          <w:ilvl w:val="0"/>
          <w:numId w:val="1006"/>
        </w:numPr>
      </w:pPr>
      <w:r>
        <w:t xml:space="preserve">تزئینات محیطی نباید با عناصر gameplay رقابت کنند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میزان-جزئیات"/>
    <w:p>
      <w:pPr>
        <w:pStyle w:val="Heading2"/>
      </w:pPr>
      <w:r>
        <w:t xml:space="preserve">6) میزان جزئیات</w:t>
      </w:r>
    </w:p>
    <w:p>
      <w:pPr>
        <w:pStyle w:val="FirstParagraph"/>
      </w:pPr>
      <w:r>
        <w:t xml:space="preserve">سبک جزئیات بازی این‌گونه تعریف می‌شود:</w:t>
      </w:r>
    </w:p>
    <w:p>
      <w:pPr>
        <w:pStyle w:val="BodyText"/>
      </w:pPr>
      <w:r>
        <w:rPr>
          <w:b/>
          <w:bCs/>
        </w:rPr>
        <w:t xml:space="preserve">بافت‌دار و پرجزئیات، اما نه شلوغ و خفه‌کننده</w:t>
      </w:r>
    </w:p>
    <w:bookmarkStart w:id="21" w:name="اصول-اجرایی"/>
    <w:p>
      <w:pPr>
        <w:pStyle w:val="Heading3"/>
      </w:pPr>
      <w:r>
        <w:t xml:space="preserve">اصول اجرایی</w:t>
      </w:r>
    </w:p>
    <w:p>
      <w:pPr>
        <w:pStyle w:val="Compact"/>
        <w:numPr>
          <w:ilvl w:val="0"/>
          <w:numId w:val="1007"/>
        </w:numPr>
      </w:pPr>
      <w:r>
        <w:t xml:space="preserve">اشیای اصلی: جزئیات بیشتر</w:t>
      </w:r>
    </w:p>
    <w:p>
      <w:pPr>
        <w:pStyle w:val="Compact"/>
        <w:numPr>
          <w:ilvl w:val="0"/>
          <w:numId w:val="1007"/>
        </w:numPr>
      </w:pPr>
      <w:r>
        <w:t xml:space="preserve">پس‌زمینه: جزئیات کنترل‌شده‌تر</w:t>
      </w:r>
    </w:p>
    <w:p>
      <w:pPr>
        <w:pStyle w:val="Compact"/>
        <w:numPr>
          <w:ilvl w:val="0"/>
          <w:numId w:val="1007"/>
        </w:numPr>
      </w:pPr>
      <w:r>
        <w:t xml:space="preserve">بافت‌ها: محسوس اما ملایم</w:t>
      </w:r>
    </w:p>
    <w:p>
      <w:pPr>
        <w:pStyle w:val="Compact"/>
        <w:numPr>
          <w:ilvl w:val="0"/>
          <w:numId w:val="1007"/>
        </w:numPr>
      </w:pPr>
      <w:r>
        <w:t xml:space="preserve">سطوح: چوب، فلز، پارچه، کاغذ، شیشه و سنگ باید شخصیت متریالی داشته باشند</w:t>
      </w:r>
    </w:p>
    <w:p>
      <w:pPr>
        <w:pStyle w:val="Compact"/>
        <w:numPr>
          <w:ilvl w:val="0"/>
          <w:numId w:val="1007"/>
        </w:numPr>
      </w:pPr>
      <w:r>
        <w:t xml:space="preserve">هیچ صفحه‌ای نباید تا حدی شلوغ شود که تعامل کاربر کاهش یابد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پالت-رنگ-اصلی"/>
    <w:p>
      <w:pPr>
        <w:pStyle w:val="Heading2"/>
      </w:pPr>
      <w:r>
        <w:t xml:space="preserve">7) پالت رنگ اصلی</w:t>
      </w:r>
    </w:p>
    <w:p>
      <w:pPr>
        <w:pStyle w:val="FirstParagraph"/>
      </w:pPr>
      <w:r>
        <w:t xml:space="preserve">پالت تصویری پایه‌ی پروژه: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لاجوردی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فیروزه‌ای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طلایی کهنه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قهوه‌ای چوبی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زرشکی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سبز گیاهی</w:t>
      </w:r>
    </w:p>
    <w:bookmarkStart w:id="23" w:name="نقش-هر-رنگ"/>
    <w:p>
      <w:pPr>
        <w:pStyle w:val="Heading3"/>
      </w:pPr>
      <w:r>
        <w:t xml:space="preserve">نقش هر رنگ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لاجوردی:</w:t>
      </w:r>
      <w:r>
        <w:t xml:space="preserve"> </w:t>
      </w:r>
      <w:r>
        <w:t xml:space="preserve">هویت اصیل، عمق، وقار، حس ایرانی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فیروزه‌ای:</w:t>
      </w:r>
      <w:r>
        <w:t xml:space="preserve"> </w:t>
      </w:r>
      <w:r>
        <w:t xml:space="preserve">طراوت، جادوی ملایم، ظرافت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طلایی کهنه:</w:t>
      </w:r>
      <w:r>
        <w:t xml:space="preserve"> </w:t>
      </w:r>
      <w:r>
        <w:t xml:space="preserve">ارزش، کیمیا، قدمت، جلال کنترل‌شده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قهوه‌ای چوبی:</w:t>
      </w:r>
      <w:r>
        <w:t xml:space="preserve"> </w:t>
      </w:r>
      <w:r>
        <w:t xml:space="preserve">گرما، دکان، طبیعت، پایه‌ی محیطی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زرشکی:</w:t>
      </w:r>
      <w:r>
        <w:t xml:space="preserve"> </w:t>
      </w:r>
      <w:r>
        <w:t xml:space="preserve">تأکید، غنا، حس شاهانه و روایی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سبز گیاهی:</w:t>
      </w:r>
      <w:r>
        <w:t xml:space="preserve"> </w:t>
      </w:r>
      <w:r>
        <w:t xml:space="preserve">پیوند با مواد، داروها، طبیعت و زندگی</w:t>
      </w:r>
    </w:p>
    <w:bookmarkEnd w:id="23"/>
    <w:bookmarkStart w:id="24" w:name="قانون-استفاده"/>
    <w:p>
      <w:pPr>
        <w:pStyle w:val="Heading3"/>
      </w:pPr>
      <w:r>
        <w:t xml:space="preserve">قانون استفاده</w:t>
      </w:r>
    </w:p>
    <w:p>
      <w:pPr>
        <w:pStyle w:val="Compact"/>
        <w:numPr>
          <w:ilvl w:val="0"/>
          <w:numId w:val="1010"/>
        </w:numPr>
      </w:pPr>
      <w:r>
        <w:t xml:space="preserve">قهوه‌ای چوبی و طیف‌های خنثی، بدنه‌ی اصلی محیط را می‌سازند</w:t>
      </w:r>
    </w:p>
    <w:p>
      <w:pPr>
        <w:pStyle w:val="Compact"/>
        <w:numPr>
          <w:ilvl w:val="0"/>
          <w:numId w:val="1010"/>
        </w:numPr>
      </w:pPr>
      <w:r>
        <w:t xml:space="preserve">لاجوردی و فیروزه‌ای به‌عنوان رنگ‌های هویتی و تزئینی عمل می‌کنند</w:t>
      </w:r>
    </w:p>
    <w:p>
      <w:pPr>
        <w:pStyle w:val="Compact"/>
        <w:numPr>
          <w:ilvl w:val="0"/>
          <w:numId w:val="1010"/>
        </w:numPr>
      </w:pPr>
      <w:r>
        <w:t xml:space="preserve">طلایی کهنه و زرشکی برای نقاط مهم، تزئینات و عناصر ویژه استفاده می‌شوند</w:t>
      </w:r>
    </w:p>
    <w:p>
      <w:pPr>
        <w:pStyle w:val="Compact"/>
        <w:numPr>
          <w:ilvl w:val="0"/>
          <w:numId w:val="1010"/>
        </w:numPr>
      </w:pPr>
      <w:r>
        <w:t xml:space="preserve">سبز گیاهی در مواد، گیاهان و نشانه‌های حیات و درمان برجسته می‌شود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مخاطب-هدف"/>
    <w:p>
      <w:pPr>
        <w:pStyle w:val="Heading2"/>
      </w:pPr>
      <w:r>
        <w:t xml:space="preserve">8) مخاطب هدف</w:t>
      </w:r>
    </w:p>
    <w:p>
      <w:pPr>
        <w:pStyle w:val="FirstParagraph"/>
      </w:pPr>
      <w:r>
        <w:rPr>
          <w:b/>
          <w:bCs/>
        </w:rPr>
        <w:t xml:space="preserve">Casual but Artistic</w:t>
      </w:r>
    </w:p>
    <w:bookmarkStart w:id="26" w:name="نتیجهی-طراحی-برای-مخاطب"/>
    <w:p>
      <w:pPr>
        <w:pStyle w:val="Heading3"/>
      </w:pPr>
      <w:r>
        <w:t xml:space="preserve">نتیجه‌ی طراحی برای مخاطب</w:t>
      </w:r>
    </w:p>
    <w:p>
      <w:pPr>
        <w:pStyle w:val="Compact"/>
        <w:numPr>
          <w:ilvl w:val="0"/>
          <w:numId w:val="1011"/>
        </w:numPr>
      </w:pPr>
      <w:r>
        <w:t xml:space="preserve">ظاهر بازی باید برای مخاطب عمومی موبایل قابل‌فهم و دل‌نشین باشد</w:t>
      </w:r>
    </w:p>
    <w:p>
      <w:pPr>
        <w:pStyle w:val="Compact"/>
        <w:numPr>
          <w:ilvl w:val="0"/>
          <w:numId w:val="1011"/>
        </w:numPr>
      </w:pPr>
      <w:r>
        <w:t xml:space="preserve">در عین حال، کیفیت هنری و هویت فرهنگی آن باید محسوس و خاص باشد</w:t>
      </w:r>
    </w:p>
    <w:p>
      <w:pPr>
        <w:pStyle w:val="Compact"/>
        <w:numPr>
          <w:ilvl w:val="0"/>
          <w:numId w:val="1011"/>
        </w:numPr>
      </w:pPr>
      <w:r>
        <w:t xml:space="preserve">رابط کاربری و عناصر قابل تعامل باید ساده، خوانا و واضح باقی بمانند</w:t>
      </w:r>
    </w:p>
    <w:p>
      <w:pPr>
        <w:pStyle w:val="Compact"/>
        <w:numPr>
          <w:ilvl w:val="0"/>
          <w:numId w:val="1011"/>
        </w:numPr>
      </w:pPr>
      <w:r>
        <w:t xml:space="preserve">جزئیات هنری باید تجربه را غنی کنند، نه اینکه آن را پیچیده و سنگین کنند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لحن-جهان"/>
    <w:p>
      <w:pPr>
        <w:pStyle w:val="Heading2"/>
      </w:pPr>
      <w:r>
        <w:t xml:space="preserve">9) لحن جهان</w:t>
      </w:r>
    </w:p>
    <w:p>
      <w:pPr>
        <w:pStyle w:val="FirstParagraph"/>
      </w:pPr>
      <w:r>
        <w:t xml:space="preserve">لحن جهان بازی ترکیبی است از:</w:t>
      </w:r>
    </w:p>
    <w:p>
      <w:pPr>
        <w:pStyle w:val="Compact"/>
        <w:numPr>
          <w:ilvl w:val="0"/>
          <w:numId w:val="1012"/>
        </w:numPr>
      </w:pPr>
      <w:r>
        <w:t xml:space="preserve">آرام و contemplative</w:t>
      </w:r>
    </w:p>
    <w:p>
      <w:pPr>
        <w:pStyle w:val="Compact"/>
        <w:numPr>
          <w:ilvl w:val="0"/>
          <w:numId w:val="1012"/>
        </w:numPr>
      </w:pPr>
      <w:r>
        <w:t xml:space="preserve">کمی رازآلود</w:t>
      </w:r>
    </w:p>
    <w:p>
      <w:pPr>
        <w:pStyle w:val="Compact"/>
        <w:numPr>
          <w:ilvl w:val="0"/>
          <w:numId w:val="1012"/>
        </w:numPr>
      </w:pPr>
      <w:r>
        <w:t xml:space="preserve">صمیمی و انسانی</w:t>
      </w:r>
    </w:p>
    <w:p>
      <w:pPr>
        <w:pStyle w:val="Compact"/>
        <w:numPr>
          <w:ilvl w:val="0"/>
          <w:numId w:val="1012"/>
        </w:numPr>
      </w:pPr>
      <w:r>
        <w:t xml:space="preserve">افسانه‌ای اما نجیب</w:t>
      </w:r>
    </w:p>
    <w:p>
      <w:pPr>
        <w:pStyle w:val="Compact"/>
        <w:numPr>
          <w:ilvl w:val="0"/>
          <w:numId w:val="1012"/>
        </w:numPr>
      </w:pPr>
      <w:r>
        <w:t xml:space="preserve">شاعرانه، نه کودکانه</w:t>
      </w:r>
    </w:p>
    <w:p>
      <w:pPr>
        <w:pStyle w:val="Compact"/>
        <w:numPr>
          <w:ilvl w:val="0"/>
          <w:numId w:val="1012"/>
        </w:numPr>
      </w:pPr>
      <w:r>
        <w:t xml:space="preserve">جادویی، اما نه شوخ و شلوغ</w:t>
      </w:r>
    </w:p>
    <w:p>
      <w:r>
        <w:pict>
          <v:rect style="width:0;height:1.5pt" o:hralign="center" o:hrstd="t" o:hr="t"/>
        </w:pict>
      </w:r>
    </w:p>
    <w:bookmarkEnd w:id="28"/>
    <w:bookmarkStart w:id="29" w:name="کلیدواژههای-تصویری"/>
    <w:p>
      <w:pPr>
        <w:pStyle w:val="Heading2"/>
      </w:pPr>
      <w:r>
        <w:t xml:space="preserve">10) کلیدواژه‌های تصویری</w:t>
      </w:r>
    </w:p>
    <w:p>
      <w:pPr>
        <w:pStyle w:val="FirstParagraph"/>
      </w:pPr>
      <w:r>
        <w:t xml:space="preserve">برای ارجاع سریع در تمام تولیدات هنری:</w:t>
      </w:r>
    </w:p>
    <w:p>
      <w:pPr>
        <w:pStyle w:val="Compact"/>
        <w:numPr>
          <w:ilvl w:val="0"/>
          <w:numId w:val="1013"/>
        </w:numPr>
      </w:pPr>
      <w:r>
        <w:t xml:space="preserve">دکان کیمیاگری ایرانی</w:t>
      </w:r>
    </w:p>
    <w:p>
      <w:pPr>
        <w:pStyle w:val="Compact"/>
        <w:numPr>
          <w:ilvl w:val="0"/>
          <w:numId w:val="1013"/>
        </w:numPr>
      </w:pPr>
      <w:r>
        <w:t xml:space="preserve">عطاری کهن</w:t>
      </w:r>
    </w:p>
    <w:p>
      <w:pPr>
        <w:pStyle w:val="Compact"/>
        <w:numPr>
          <w:ilvl w:val="0"/>
          <w:numId w:val="1013"/>
        </w:numPr>
      </w:pPr>
      <w:r>
        <w:t xml:space="preserve">نسخه خطی</w:t>
      </w:r>
    </w:p>
    <w:p>
      <w:pPr>
        <w:pStyle w:val="Compact"/>
        <w:numPr>
          <w:ilvl w:val="0"/>
          <w:numId w:val="1013"/>
        </w:numPr>
      </w:pPr>
      <w:r>
        <w:t xml:space="preserve">شیشه‌های رنگی</w:t>
      </w:r>
    </w:p>
    <w:p>
      <w:pPr>
        <w:pStyle w:val="Compact"/>
        <w:numPr>
          <w:ilvl w:val="0"/>
          <w:numId w:val="1013"/>
        </w:numPr>
      </w:pPr>
      <w:r>
        <w:t xml:space="preserve">هاون برنجی</w:t>
      </w:r>
    </w:p>
    <w:p>
      <w:pPr>
        <w:pStyle w:val="Compact"/>
        <w:numPr>
          <w:ilvl w:val="0"/>
          <w:numId w:val="1013"/>
        </w:numPr>
      </w:pPr>
      <w:r>
        <w:t xml:space="preserve">دیگ مسی</w:t>
      </w:r>
    </w:p>
    <w:p>
      <w:pPr>
        <w:pStyle w:val="Compact"/>
        <w:numPr>
          <w:ilvl w:val="0"/>
          <w:numId w:val="1013"/>
        </w:numPr>
      </w:pPr>
      <w:r>
        <w:t xml:space="preserve">کاغذ کهنه</w:t>
      </w:r>
    </w:p>
    <w:p>
      <w:pPr>
        <w:pStyle w:val="Compact"/>
        <w:numPr>
          <w:ilvl w:val="0"/>
          <w:numId w:val="1013"/>
        </w:numPr>
      </w:pPr>
      <w:r>
        <w:t xml:space="preserve">چوب صیقلی</w:t>
      </w:r>
    </w:p>
    <w:p>
      <w:pPr>
        <w:pStyle w:val="Compact"/>
        <w:numPr>
          <w:ilvl w:val="0"/>
          <w:numId w:val="1013"/>
        </w:numPr>
      </w:pPr>
      <w:r>
        <w:t xml:space="preserve">فلز پتینه‌خورده</w:t>
      </w:r>
    </w:p>
    <w:p>
      <w:pPr>
        <w:pStyle w:val="Compact"/>
        <w:numPr>
          <w:ilvl w:val="0"/>
          <w:numId w:val="1013"/>
        </w:numPr>
      </w:pPr>
      <w:r>
        <w:t xml:space="preserve">نور گرم</w:t>
      </w:r>
    </w:p>
    <w:p>
      <w:pPr>
        <w:pStyle w:val="Compact"/>
        <w:numPr>
          <w:ilvl w:val="0"/>
          <w:numId w:val="1013"/>
        </w:numPr>
      </w:pPr>
      <w:r>
        <w:t xml:space="preserve">گرد نور</w:t>
      </w:r>
    </w:p>
    <w:p>
      <w:pPr>
        <w:pStyle w:val="Compact"/>
        <w:numPr>
          <w:ilvl w:val="0"/>
          <w:numId w:val="1013"/>
        </w:numPr>
      </w:pPr>
      <w:r>
        <w:t xml:space="preserve">گیاهان خشک و تازه</w:t>
      </w:r>
    </w:p>
    <w:p>
      <w:pPr>
        <w:pStyle w:val="Compact"/>
        <w:numPr>
          <w:ilvl w:val="0"/>
          <w:numId w:val="1013"/>
        </w:numPr>
      </w:pPr>
      <w:r>
        <w:t xml:space="preserve">لاجورد و فیروزه</w:t>
      </w:r>
    </w:p>
    <w:p>
      <w:pPr>
        <w:pStyle w:val="Compact"/>
        <w:numPr>
          <w:ilvl w:val="0"/>
          <w:numId w:val="1013"/>
        </w:numPr>
      </w:pPr>
      <w:r>
        <w:t xml:space="preserve">طلای کهنه</w:t>
      </w:r>
    </w:p>
    <w:p>
      <w:pPr>
        <w:pStyle w:val="Compact"/>
        <w:numPr>
          <w:ilvl w:val="0"/>
          <w:numId w:val="1013"/>
        </w:numPr>
      </w:pPr>
      <w:r>
        <w:t xml:space="preserve">افسون پنهان</w:t>
      </w:r>
    </w:p>
    <w:p>
      <w:pPr>
        <w:pStyle w:val="Compact"/>
        <w:numPr>
          <w:ilvl w:val="0"/>
          <w:numId w:val="1013"/>
        </w:numPr>
      </w:pPr>
      <w:r>
        <w:t xml:space="preserve">افسانه ایرانی</w:t>
      </w:r>
    </w:p>
    <w:p>
      <w:r>
        <w:pict>
          <v:rect style="width:0;height:1.5pt" o:hralign="center" o:hrstd="t" o:hr="t"/>
        </w:pict>
      </w:r>
    </w:p>
    <w:bookmarkEnd w:id="29"/>
    <w:bookmarkStart w:id="31" w:name="چیزهایی-که-باید-از-آنها-پرهیز-شود"/>
    <w:p>
      <w:pPr>
        <w:pStyle w:val="Heading2"/>
      </w:pPr>
      <w:r>
        <w:t xml:space="preserve">11) چیزهایی که باید از آن‌ها پرهیز شود</w:t>
      </w:r>
    </w:p>
    <w:bookmarkStart w:id="30" w:name="نبایدها"/>
    <w:p>
      <w:pPr>
        <w:pStyle w:val="Heading3"/>
      </w:pPr>
      <w:r>
        <w:t xml:space="preserve">نبایدها</w:t>
      </w:r>
    </w:p>
    <w:p>
      <w:pPr>
        <w:pStyle w:val="Compact"/>
        <w:numPr>
          <w:ilvl w:val="0"/>
          <w:numId w:val="1014"/>
        </w:numPr>
      </w:pPr>
      <w:r>
        <w:t xml:space="preserve">ظاهر بیش از حد کارتونی و کودکانه</w:t>
      </w:r>
    </w:p>
    <w:p>
      <w:pPr>
        <w:pStyle w:val="Compact"/>
        <w:numPr>
          <w:ilvl w:val="0"/>
          <w:numId w:val="1014"/>
        </w:numPr>
      </w:pPr>
      <w:r>
        <w:t xml:space="preserve">فانتزی غربیِ generic</w:t>
      </w:r>
    </w:p>
    <w:p>
      <w:pPr>
        <w:pStyle w:val="Compact"/>
        <w:numPr>
          <w:ilvl w:val="0"/>
          <w:numId w:val="1014"/>
        </w:numPr>
      </w:pPr>
      <w:r>
        <w:t xml:space="preserve">درخشش‌های نئونی و اشباع افراطی</w:t>
      </w:r>
    </w:p>
    <w:p>
      <w:pPr>
        <w:pStyle w:val="Compact"/>
        <w:numPr>
          <w:ilvl w:val="0"/>
          <w:numId w:val="1014"/>
        </w:numPr>
      </w:pPr>
      <w:r>
        <w:t xml:space="preserve">شلوغی تزئینی بدون کارکرد</w:t>
      </w:r>
    </w:p>
    <w:p>
      <w:pPr>
        <w:pStyle w:val="Compact"/>
        <w:numPr>
          <w:ilvl w:val="0"/>
          <w:numId w:val="1014"/>
        </w:numPr>
      </w:pPr>
      <w:r>
        <w:t xml:space="preserve">رابط کاربری مدرنِ بی‌هویت</w:t>
      </w:r>
    </w:p>
    <w:p>
      <w:pPr>
        <w:pStyle w:val="Compact"/>
        <w:numPr>
          <w:ilvl w:val="0"/>
          <w:numId w:val="1014"/>
        </w:numPr>
      </w:pPr>
      <w:r>
        <w:t xml:space="preserve">اشیای بیش از حد واقع‌گرایانه که از سبک کلی جدا شوند</w:t>
      </w:r>
    </w:p>
    <w:p>
      <w:pPr>
        <w:pStyle w:val="Compact"/>
        <w:numPr>
          <w:ilvl w:val="0"/>
          <w:numId w:val="1014"/>
        </w:numPr>
      </w:pPr>
      <w:r>
        <w:t xml:space="preserve">ترکیب نامنسجم دوره‌ها و سبک‌ها بدون کنترل هنری</w:t>
      </w:r>
    </w:p>
    <w:p>
      <w:pPr>
        <w:pStyle w:val="Compact"/>
        <w:numPr>
          <w:ilvl w:val="0"/>
          <w:numId w:val="1014"/>
        </w:numPr>
      </w:pPr>
      <w:r>
        <w:t xml:space="preserve">کلیشه‌های تزیینی که فقط «شرقی» به نظر برسند اما ریشه‌ی هویتی نداشته باشند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nchor-scene-پیشنهادی"/>
    <w:p>
      <w:pPr>
        <w:pStyle w:val="Heading2"/>
      </w:pPr>
      <w:r>
        <w:t xml:space="preserve">12) Anchor Scene پیشنهادی</w:t>
      </w:r>
    </w:p>
    <w:p>
      <w:pPr>
        <w:pStyle w:val="FirstParagraph"/>
      </w:pPr>
      <w:r>
        <w:rPr>
          <w:b/>
          <w:bCs/>
        </w:rPr>
        <w:t xml:space="preserve">صحنه‌ی مرجع اصلی پروژه: دکان کیمیاگر</w:t>
      </w:r>
    </w:p>
    <w:p>
      <w:pPr>
        <w:pStyle w:val="BodyText"/>
      </w:pPr>
      <w:r>
        <w:t xml:space="preserve">این صحنه باید مرجع اصلی تمام طراحی‌های بعدی باشد و شامل این عناصر باشد:</w:t>
      </w:r>
    </w:p>
    <w:p>
      <w:pPr>
        <w:pStyle w:val="Compact"/>
        <w:numPr>
          <w:ilvl w:val="0"/>
          <w:numId w:val="1015"/>
        </w:numPr>
      </w:pPr>
      <w:r>
        <w:t xml:space="preserve">میز اصلی کیمیاگری</w:t>
      </w:r>
    </w:p>
    <w:p>
      <w:pPr>
        <w:pStyle w:val="Compact"/>
        <w:numPr>
          <w:ilvl w:val="0"/>
          <w:numId w:val="1015"/>
        </w:numPr>
      </w:pPr>
      <w:r>
        <w:t xml:space="preserve">هاون و دسته‌هاون</w:t>
      </w:r>
    </w:p>
    <w:p>
      <w:pPr>
        <w:pStyle w:val="Compact"/>
        <w:numPr>
          <w:ilvl w:val="0"/>
          <w:numId w:val="1015"/>
        </w:numPr>
      </w:pPr>
      <w:r>
        <w:t xml:space="preserve">دیگ یا ظرف اصلی ترکیب</w:t>
      </w:r>
    </w:p>
    <w:p>
      <w:pPr>
        <w:pStyle w:val="Compact"/>
        <w:numPr>
          <w:ilvl w:val="0"/>
          <w:numId w:val="1015"/>
        </w:numPr>
      </w:pPr>
      <w:r>
        <w:t xml:space="preserve">قفسه‌های چوبی</w:t>
      </w:r>
    </w:p>
    <w:p>
      <w:pPr>
        <w:pStyle w:val="Compact"/>
        <w:numPr>
          <w:ilvl w:val="0"/>
          <w:numId w:val="1015"/>
        </w:numPr>
      </w:pPr>
      <w:r>
        <w:t xml:space="preserve">شیشه‌های دارو و مواد</w:t>
      </w:r>
    </w:p>
    <w:p>
      <w:pPr>
        <w:pStyle w:val="Compact"/>
        <w:numPr>
          <w:ilvl w:val="0"/>
          <w:numId w:val="1015"/>
        </w:numPr>
      </w:pPr>
      <w:r>
        <w:t xml:space="preserve">بسته‌های گیاهان خشک</w:t>
      </w:r>
    </w:p>
    <w:p>
      <w:pPr>
        <w:pStyle w:val="Compact"/>
        <w:numPr>
          <w:ilvl w:val="0"/>
          <w:numId w:val="1015"/>
        </w:numPr>
      </w:pPr>
      <w:r>
        <w:t xml:space="preserve">نور گرم محیطی</w:t>
      </w:r>
    </w:p>
    <w:p>
      <w:pPr>
        <w:pStyle w:val="Compact"/>
        <w:numPr>
          <w:ilvl w:val="0"/>
          <w:numId w:val="1015"/>
        </w:numPr>
      </w:pPr>
      <w:r>
        <w:t xml:space="preserve">نشانه‌های ظریف افسانه‌ای</w:t>
      </w:r>
    </w:p>
    <w:p>
      <w:pPr>
        <w:pStyle w:val="Compact"/>
        <w:numPr>
          <w:ilvl w:val="0"/>
          <w:numId w:val="1015"/>
        </w:numPr>
      </w:pPr>
      <w:r>
        <w:t xml:space="preserve">تزئینات محدود ایرانی</w:t>
      </w:r>
    </w:p>
    <w:p>
      <w:pPr>
        <w:pStyle w:val="Compact"/>
        <w:numPr>
          <w:ilvl w:val="0"/>
          <w:numId w:val="1015"/>
        </w:numPr>
      </w:pPr>
      <w:r>
        <w:t xml:space="preserve">فضای قابل‌خواندن و gameplay-friendly</w:t>
      </w:r>
    </w:p>
    <w:p>
      <w:r>
        <w:pict>
          <v:rect style="width:0;height:1.5pt" o:hralign="center" o:hrstd="t" o:hr="t"/>
        </w:pict>
      </w:r>
    </w:p>
    <w:bookmarkEnd w:id="32"/>
    <w:bookmarkStart w:id="33" w:name="خروجیهای-هنری-پیشنهادی-بعد-از-این-سند"/>
    <w:p>
      <w:pPr>
        <w:pStyle w:val="Heading2"/>
      </w:pPr>
      <w:r>
        <w:t xml:space="preserve">13) خروجی‌های هنری پیشنهادی بعد از این سند</w:t>
      </w:r>
    </w:p>
    <w:p>
      <w:pPr>
        <w:pStyle w:val="FirstParagraph"/>
      </w:pPr>
      <w:r>
        <w:t xml:space="preserve">ترتیب تولید پیشنهادی:</w:t>
      </w:r>
      <w:r>
        <w:t xml:space="preserve"> </w:t>
      </w:r>
      <w:r>
        <w:t xml:space="preserve">1. Concept Art دکان کیمیاگر</w:t>
      </w:r>
      <w:r>
        <w:t xml:space="preserve"> </w:t>
      </w:r>
      <w:r>
        <w:t xml:space="preserve">2. طراحی میز کیمیاگری و ابزارها</w:t>
      </w:r>
      <w:r>
        <w:t xml:space="preserve"> </w:t>
      </w:r>
      <w:r>
        <w:t xml:space="preserve">3. طراحی 5 ماده‌ی اولیه‌ی پایه</w:t>
      </w:r>
      <w:r>
        <w:t xml:space="preserve"> </w:t>
      </w:r>
      <w:r>
        <w:t xml:space="preserve">4. طراحی UI پایه</w:t>
      </w:r>
      <w:r>
        <w:t xml:space="preserve"> </w:t>
      </w:r>
      <w:r>
        <w:t xml:space="preserve">5. طراحی یک مشتری نمونه</w:t>
      </w:r>
      <w:r>
        <w:t xml:space="preserve"> </w:t>
      </w:r>
      <w:r>
        <w:t xml:space="preserve">6. ساخت Vertical Slice کوچک</w:t>
      </w:r>
    </w:p>
    <w:p>
      <w:r>
        <w:pict>
          <v:rect style="width:0;height:1.5pt" o:hralign="center" o:hrstd="t" o:hr="t"/>
        </w:pict>
      </w:r>
    </w:p>
    <w:bookmarkEnd w:id="33"/>
    <w:bookmarkStart w:id="34" w:name="نسخه"/>
    <w:p>
      <w:pPr>
        <w:pStyle w:val="Heading2"/>
      </w:pPr>
      <w:r>
        <w:t xml:space="preserve">14) نسخه</w:t>
      </w:r>
    </w:p>
    <w:p>
      <w:pPr>
        <w:pStyle w:val="FirstParagraph"/>
      </w:pPr>
      <w:r>
        <w:rPr>
          <w:b/>
          <w:bCs/>
        </w:rPr>
        <w:t xml:space="preserve">نسخه فعلی:</w:t>
      </w:r>
      <w:r>
        <w:t xml:space="preserve"> </w:t>
      </w:r>
      <w:r>
        <w:t xml:space="preserve">0.1</w:t>
      </w:r>
      <w:r>
        <w:br/>
      </w:r>
      <w:r>
        <w:t xml:space="preserve">این سند پایه‌ی تصمیم‌گیری بصری پروژه است و در طول توسعه به‌روزرسانی خواهد شد.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