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120"/>
      </w:pPr>
      <w:r>
        <w:rPr>
          <w:b/>
          <w:sz w:val="36"/>
        </w:rPr>
        <w:t xml:space="preserve">DJR Assay Section — Results Wording</w:t>
      </w:r>
    </w:p>
    <w:p>
      <w:r>
        <w:t xml:space="preserve">Report-ready wording for the assay work, structured to mirror the optioneering:</w:t>
      </w:r>
    </w:p>
    <w:p>
      <w:r>
        <w:t xml:space="preserve">the </w:t>
      </w:r>
      <w:r>
        <w:rPr>
          <w:b/>
        </w:rPr>
        <w:t xml:space="preserve">imager</w:t>
      </w:r>
      <w:r>
        <w:t xml:space="preserve"> (HDRI source location, §5.3.3.1) and the </w:t>
      </w:r>
      <w:r>
        <w:rPr>
          <w:b/>
        </w:rPr>
        <w:t xml:space="preserve">gamma spectrometer</w:t>
      </w:r>
    </w:p>
    <w:p>
      <w:r>
        <w:t xml:space="preserve">(characterisation, §5.3.3.2). Paste into the Design Justification Report and adjust</w:t>
      </w:r>
    </w:p>
    <w:p>
      <w:r>
        <w:t xml:space="preserve">house style as needed. Companion documents: </w:t>
      </w:r>
      <w:r>
        <w:rPr>
          <w:rFonts w:ascii="Consolas" w:hAnsi="Consolas"/>
        </w:rPr>
        <w:t xml:space="preserve">DJR_assay_measurement_plan.md</w:t>
      </w:r>
      <w:r>
        <w:t xml:space="preserve"> (method)</w:t>
      </w:r>
    </w:p>
    <w:p>
      <w:r>
        <w:t xml:space="preserve">and </w:t>
      </w:r>
      <w:r>
        <w:rPr>
          <w:rFonts w:ascii="Consolas" w:hAnsi="Consolas"/>
        </w:rPr>
        <w:t xml:space="preserve">DJR_assay_experiments.md</w:t>
      </w:r>
      <w:r>
        <w:t xml:space="preserve"> (runbook + status).</w:t>
      </w:r>
    </w:p>
    <w:p>
      <w:r>
        <w:rPr>
          <w:b/>
        </w:rPr>
        <w:t xml:space="preserve">Instrument / geometry:</w:t>
      </w:r>
      <w:r>
        <w:t xml:space="preserve"> GeGi planar HPGe (90 mm crystal, 11 mm thick), mounted</w:t>
      </w:r>
    </w:p>
    <w:p>
      <w:r>
        <w:t xml:space="preserve">upward-facing at a 0.33 m source-to-face standoff through one permanent 5 mm steel</w:t>
      </w:r>
    </w:p>
    <w:p>
      <w:r>
        <w:t xml:space="preserve">plate; hot trays receive additional 5 mm plates.</w:t>
      </w:r>
    </w:p>
    <w:p>
      <w:r>
        <w:rPr>
          <w:b/>
        </w:rPr>
        <w:t xml:space="preserve">Reference sources:</w:t>
      </w:r>
      <w:r>
        <w:t xml:space="preserve"> Cs-137 2.990 MBq and Co-60 1.130 MBq, both certificated to</w:t>
      </w:r>
    </w:p>
    <w:p>
      <w:r>
        <w:t xml:space="preserve">2026-06-01, decay-corrected to the measurement date in every comparison.</w:t>
      </w:r>
    </w:p>
    <w:p>
      <w:r>
        <w:t xml:space="preserve">---</w:t>
      </w:r>
    </w:p>
    <w:p>
      <w:pPr>
        <w:spacing w:before="220"/>
      </w:pPr>
      <w:r>
        <w:rPr>
          <w:b/>
          <w:sz w:val="28"/>
        </w:rPr>
        <w:t xml:space="preserve">Coverage against the requested report items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c>
          <w:tcPr>
            <w:tcW w:w="0" w:type="auto"/>
          </w:tcPr>
          <w:p>
            <w:r>
              <w:rPr>
                <w:b/>
                <w:sz w:val="20"/>
              </w:rPr>
              <w:t xml:space="preserve">Report item (assay section)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Role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Status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Reference to optioneering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both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drafted (§1)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Summary of waste information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both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narrative — from waste data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Maximum activity + max dead-time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spectrometer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covered (§3.4)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Limits of detection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spectrometer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covered (§3.3)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Expected count times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spectrometer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partially covered (§3.2/§3.5)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Expected volume throughput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system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pending — needs line cycle time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Uncertainty assessment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spectrometer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covered (§5)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Source localisation / ~1°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imager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covered (§2)</w:t>
            </w:r>
          </w:p>
        </w:tc>
      </w:tr>
    </w:tbl>
    <w:p>
      <w:r>
        <w:t xml:space="preserve">---</w:t>
      </w:r>
    </w:p>
    <w:p>
      <w:pPr>
        <w:spacing w:before="220"/>
      </w:pPr>
      <w:r>
        <w:rPr>
          <w:b/>
          <w:sz w:val="28"/>
        </w:rPr>
        <w:t xml:space="preserve">1. Reference to the optioneering</w:t>
      </w:r>
    </w:p>
    <w:p>
      <w:r>
        <w:t xml:space="preserve">The PHDS GeGi gamma camera was selected in the optioneering study for </w:t>
      </w:r>
      <w:r>
        <w:rPr>
          <w:b/>
        </w:rPr>
        <w:t xml:space="preserve">both</w:t>
      </w:r>
      <w:r>
        <w:t xml:space="preserve"> the</w:t>
      </w:r>
    </w:p>
    <w:p>
      <w:r>
        <w:t xml:space="preserve">HDRI source-location role (§5.3.3.1) and the characterisation gamma-spectrometer</w:t>
      </w:r>
    </w:p>
    <w:p>
      <w:r>
        <w:t xml:space="preserve">role (§5.3.3.2), on the basis that its combination of high-resolution HPGe</w:t>
      </w:r>
    </w:p>
    <w:p>
      <w:r>
        <w:t xml:space="preserve">spectrometry and Compton spatial imaging uniquely satisfies both the </w:t>
      </w:r>
      <w:r>
        <w:rPr>
          <w:b/>
        </w:rPr>
        <w:t xml:space="preserve">system</w:t>
      </w:r>
    </w:p>
    <w:p>
      <w:r>
        <w:t xml:space="preserve">need and the </w:t>
      </w:r>
      <w:r>
        <w:rPr>
          <w:b/>
        </w:rPr>
        <w:t xml:space="preserve">characterisation</w:t>
      </w:r>
      <w:r>
        <w:t xml:space="preserve"> need from a single sensor. The two roles are</w:t>
      </w:r>
    </w:p>
    <w:p>
      <w:r>
        <w:t xml:space="preserve">substantiated separately below — the </w:t>
      </w:r>
      <w:r>
        <w:rPr>
          <w:b/>
        </w:rPr>
        <w:t xml:space="preserve">imager</w:t>
      </w:r>
      <w:r>
        <w:t xml:space="preserve"> in §2 and the </w:t>
      </w:r>
      <w:r>
        <w:rPr>
          <w:b/>
        </w:rPr>
        <w:t xml:space="preserve">spectrometer</w:t>
      </w:r>
      <w:r>
        <w:t xml:space="preserve"> in</w:t>
      </w:r>
    </w:p>
    <w:p>
      <w:r>
        <w:t xml:space="preserve">§3 — and the integration benefit (a source located by the imager is quantified</w:t>
      </w:r>
    </w:p>
    <w:p>
      <w:r>
        <w:t xml:space="preserve">correctly by the spectrometer) in §4. ISOCS mathematical calibration, cited in the</w:t>
      </w:r>
    </w:p>
    <w:p>
      <w:r>
        <w:t xml:space="preserve">optioneering, is the intended production calibration route; the calibration here is</w:t>
      </w:r>
    </w:p>
    <w:p>
      <w:r>
        <w:t xml:space="preserve">validated empirically against certificated sources. The dual role is inherent to</w:t>
      </w:r>
    </w:p>
    <w:p>
      <w:r>
        <w:t xml:space="preserve">the single-sensor architecture, consistent with the optioneering conclusion that no</w:t>
      </w:r>
    </w:p>
    <w:p>
      <w:r>
        <w:t xml:space="preserve">additional characterisation sensor is required.</w:t>
      </w:r>
    </w:p>
    <w:p>
      <w:r>
        <w:t xml:space="preserve">---</w:t>
      </w:r>
    </w:p>
    <w:p>
      <w:pPr>
        <w:spacing w:before="220"/>
      </w:pPr>
      <w:r>
        <w:rPr>
          <w:b/>
          <w:sz w:val="28"/>
        </w:rPr>
        <w:t xml:space="preserve">2. Imager — HDRI source location (§5.3.3.1)</w:t>
      </w:r>
    </w:p>
    <w:p>
      <w:pPr>
        <w:spacing w:before="160"/>
      </w:pPr>
      <w:r>
        <w:rPr>
          <w:b/>
          <w:sz w:val="24"/>
        </w:rPr>
        <w:t xml:space="preserve">2.1 Angular and position accuracy</w:t>
      </w:r>
    </w:p>
    <w:p>
      <w:r>
        <w:t xml:space="preserve">The GeGi's source-location accuracy was measured by imaging a source at 0.5 m</w:t>
      </w:r>
    </w:p>
    <w:p>
      <w:r>
        <w:t xml:space="preserve">standoff at six lateral positions and comparing the reconstructed direction with</w:t>
      </w:r>
    </w:p>
    <w:p>
      <w:r>
        <w:t xml:space="preserve">the true position. The mean angular error was </w:t>
      </w:r>
      <w:r>
        <w:rPr>
          <w:b/>
        </w:rPr>
        <w:t xml:space="preserve">1.05°</w:t>
      </w:r>
      <w:r>
        <w:t xml:space="preserve"> (range 0.60–1.51°, RMS</w:t>
      </w:r>
    </w:p>
    <w:p>
      <w:r>
        <w:t xml:space="preserve">1.09°), equivalent to a lateral position error of </w:t>
      </w:r>
      <w:r>
        <w:rPr>
          <w:b/>
        </w:rPr>
        <w:t xml:space="preserve">~5–13 mm</w:t>
      </w:r>
      <w:r>
        <w:t xml:space="preserve"> (mean ~9 mm) at</w:t>
      </w:r>
    </w:p>
    <w:p>
      <w:r>
        <w:t xml:space="preserve">0.5 m. This confirms the ~1° angular precision cited in the optioneering.</w:t>
      </w:r>
    </w:p>
    <w:p>
      <w:pPr>
        <w:spacing w:before="160"/>
      </w:pPr>
      <w:r>
        <w:rPr>
          <w:b/>
          <w:sz w:val="24"/>
        </w:rPr>
        <w:t xml:space="preserve">2.2 Single- and multi-source localisation</w:t>
      </w:r>
    </w:p>
    <w:p>
      <w:r>
        <w:t xml:space="preserve">A single Cs-137 source near the tray axis was localised to within </w:t>
      </w:r>
      <w:r>
        <w:rPr>
          <w:b/>
        </w:rPr>
        <w:t xml:space="preserve">~7 mm</w:t>
      </w:r>
      <w:r>
        <w:t xml:space="preserve"> of</w:t>
      </w:r>
    </w:p>
    <w:p>
      <w:r>
        <w:t xml:space="preserve">centre (−0.28 cm, 0.64 cm). In a mixed-source scene the system simultaneously</w:t>
      </w:r>
    </w:p>
    <w:p>
      <w:r>
        <w:t xml:space="preserve">located and correctly identified a central Co-60 source and two flanking Cs-137</w:t>
      </w:r>
    </w:p>
    <w:p>
      <w:r>
        <w:t xml:space="preserve">sources ~30 cm apart, distinguishing the isotopes both spectrally and spatially —</w:t>
      </w:r>
    </w:p>
    <w:p>
      <w:r>
        <w:t xml:space="preserve">directly evidencing the location-and-identification capability for mixed FED waste.</w:t>
      </w:r>
    </w:p>
    <w:p>
      <w:r>
        <w:t xml:space="preserve">---</w:t>
      </w:r>
    </w:p>
    <w:p>
      <w:pPr>
        <w:spacing w:before="220"/>
      </w:pPr>
      <w:r>
        <w:rPr>
          <w:b/>
          <w:sz w:val="28"/>
        </w:rPr>
        <w:t xml:space="preserve">3. Gamma spectrometer — characterisation (§5.3.3.2)</w:t>
      </w:r>
    </w:p>
    <w:p>
      <w:pPr>
        <w:spacing w:before="160"/>
      </w:pPr>
      <w:r>
        <w:rPr>
          <w:b/>
          <w:sz w:val="24"/>
        </w:rPr>
        <w:t xml:space="preserve">3.1 Isotope identification</w:t>
      </w:r>
    </w:p>
    <w:p>
      <w:r>
        <w:t xml:space="preserve">The spectrometer's high energy resolution cleanly resolves the Co-60 1173 and</w:t>
      </w:r>
    </w:p>
    <w:p>
      <w:r>
        <w:t xml:space="preserve">1332 keV lines and the Cs-137 662 keV line, giving unambiguous isotope</w:t>
      </w:r>
    </w:p>
    <w:p>
      <w:r>
        <w:t xml:space="preserve">identification. In the mixed-source scene of §2.2 the system identified Co-60 and</w:t>
      </w:r>
    </w:p>
    <w:p>
      <w:r>
        <w:t xml:space="preserve">Cs-137 simultaneously, confirming the identification capability for mixed FED waste.</w:t>
      </w:r>
    </w:p>
    <w:p>
      <w:pPr>
        <w:spacing w:before="160"/>
      </w:pPr>
      <w:r>
        <w:rPr>
          <w:b/>
          <w:sz w:val="24"/>
        </w:rPr>
        <w:t xml:space="preserve">3.2 Efficiency validation and calibration (Experiment B)</w:t>
      </w:r>
    </w:p>
    <w:p>
      <w:r>
        <w:t xml:space="preserve">Efficiency validation was performed by assaying the certificated Cs-137 (2.990 MBq)</w:t>
      </w:r>
    </w:p>
    <w:p>
      <w:r>
        <w:t xml:space="preserve">and Co-60 (1.130 MBq) sources in the operational geometry (0.33 m through one 5 mm</w:t>
      </w:r>
    </w:p>
    <w:p>
      <w:r>
        <w:t xml:space="preserve">steel plate), with certificate activities decay-corrected to the measurement date.</w:t>
      </w:r>
    </w:p>
    <w:p>
      <w:r>
        <w:t xml:space="preserve">The measured Cs-137 activity agreed with the certificate to </w:t>
      </w:r>
      <w:r>
        <w:rPr>
          <w:b/>
        </w:rPr>
        <w:t xml:space="preserve">−1.1%</w:t>
      </w:r>
      <w:r>
        <w:t xml:space="preserve"> (−0.5% on an</w:t>
      </w:r>
    </w:p>
    <w:p>
      <w:r>
        <w:t xml:space="preserve">independent repeat), demonstrating that the empirical efficiency calibration</w:t>
      </w:r>
    </w:p>
    <w:p>
      <w:r>
        <w:t xml:space="preserve">transfers correctly from the original 0.5 m unshielded calibration to the mounted,</w:t>
      </w:r>
    </w:p>
    <w:p>
      <w:r>
        <w:t xml:space="preserve">shielded configuration, including the solid-angle and steel-transmission</w:t>
      </w:r>
    </w:p>
    <w:p>
      <w:r>
        <w:t xml:space="preserve">corrections. The initial Co-60 assay read +7 to +12% high with a reproducible</w:t>
      </w:r>
    </w:p>
    <w:p>
      <w:r>
        <w:rPr>
          <w:b/>
        </w:rPr>
        <w:t xml:space="preserve">4.5% inconsistency between its 1173 and 1332 keV photopeaks</w:t>
      </w:r>
      <w:r>
        <w:t xml:space="preserve">; because the shared</w:t>
      </w:r>
    </w:p>
    <w:p>
      <w:r>
        <w:t xml:space="preserve">geometry was validated by the Cs-137 result, this isolated a residual error in the</w:t>
      </w:r>
    </w:p>
    <w:p>
      <w:r>
        <w:t xml:space="preserve">Co-60 efficiency calibration. The Co-60 calibration factors were then corrected</w:t>
      </w:r>
    </w:p>
    <w:p>
      <w:r>
        <w:t xml:space="preserve">against the certificate (1173 keV: 117,730 → 107,490; 1332 keV: 163,393 → 152,010).</w:t>
      </w:r>
    </w:p>
    <w:p>
      <w:r>
        <w:rPr>
          <w:i/>
        </w:rPr>
        <w:t xml:space="preserve">Note on independence:</w:t>
      </w:r>
      <w:r>
        <w:t xml:space="preserve"> because the Co-60 factors were </w:t>
      </w:r>
      <w:r>
        <w:rPr>
          <w:b/>
        </w:rPr>
        <w:t xml:space="preserve">fitted to</w:t>
      </w:r>
      <w:r>
        <w:t xml:space="preserve"> the</w:t>
      </w:r>
    </w:p>
    <w:p>
      <w:r>
        <w:t xml:space="preserve">certificate, the resulting agreement is a fit residual and is </w:t>
      </w:r>
      <w:r>
        <w:rPr>
          <w:b/>
        </w:rPr>
        <w:t xml:space="preserve">not</w:t>
      </w:r>
      <w:r>
        <w:t xml:space="preserve"> an</w:t>
      </w:r>
    </w:p>
    <w:p>
      <w:r>
        <w:t xml:space="preserve">independent validation. The independent evidence is twofold: (i) the Cs-137 result</w:t>
      </w:r>
    </w:p>
    <w:p>
      <w:r>
        <w:t xml:space="preserve">(</w:t>
      </w:r>
      <w:r>
        <w:rPr>
          <w:b/>
        </w:rPr>
        <w:t xml:space="preserve">−1.1%</w:t>
      </w:r>
      <w:r>
        <w:t xml:space="preserve">), which was not adjusted and validates the geometry transfer; and (ii)</w:t>
      </w:r>
    </w:p>
    <w:p>
      <w:r>
        <w:t xml:space="preserve">the subsequent repeatability trial (Experiment D, §3.5), in which ten fresh Co-60</w:t>
      </w:r>
    </w:p>
    <w:p>
      <w:r>
        <w:t xml:space="preserve">assays gave a mean </w:t>
      </w:r>
      <w:r>
        <w:rPr>
          <w:b/>
        </w:rPr>
        <w:t xml:space="preserve">+1.2%</w:t>
      </w:r>
      <w:r>
        <w:t xml:space="preserve"> against the certificate. This exercise demonstrates</w:t>
      </w:r>
    </w:p>
    <w:p>
      <w:r>
        <w:t xml:space="preserve">the calibration methodology detecting and correcting a nuclide-specific efficiency</w:t>
      </w:r>
    </w:p>
    <w:p>
      <w:r>
        <w:t xml:space="preserve">error through the detector's two-line self-consistency.</w:t>
      </w:r>
    </w:p>
    <w:p>
      <w:pPr>
        <w:spacing w:before="160"/>
      </w:pPr>
      <w:r>
        <w:rPr>
          <w:b/>
          <w:sz w:val="24"/>
        </w:rPr>
        <w:t xml:space="preserve">3.3 Limits of detection (Experiment A)</w:t>
      </w:r>
    </w:p>
    <w:p>
      <w:r>
        <w:t xml:space="preserve">The minimum detectable activity (MDA) was determined per Currie (1968) at the 95%</w:t>
      </w:r>
    </w:p>
    <w:p>
      <w:r>
        <w:t xml:space="preserve">confidence level from a 3606 s source-free background measurement in the</w:t>
      </w:r>
    </w:p>
    <w:p>
      <w:r>
        <w:t xml:space="preserve">operational geometry. For a 300 s assay the MDA is </w:t>
      </w:r>
      <w:r>
        <w:rPr>
          <w:b/>
        </w:rPr>
        <w:t xml:space="preserve">0.24 kBq (Cs-137)</w:t>
      </w:r>
      <w:r>
        <w:t xml:space="preserve"> and</w:t>
      </w:r>
    </w:p>
    <w:p>
      <w:r>
        <w:rPr>
          <w:b/>
        </w:rPr>
        <w:t xml:space="preserve">4.0 kBq (Co-60)</w:t>
      </w:r>
      <w:r>
        <w:t xml:space="preserve">, and the limit of quantification (400 net counts, ≤5% counting</w:t>
      </w:r>
    </w:p>
    <w:p>
      <w:r>
        <w:t xml:space="preserve">uncertainty) is </w:t>
      </w:r>
      <w:r>
        <w:rPr>
          <w:b/>
        </w:rPr>
        <w:t xml:space="preserve">36 kBq (Cs-137)</w:t>
      </w:r>
      <w:r>
        <w:t xml:space="preserve"> and </w:t>
      </w:r>
      <w:r>
        <w:rPr>
          <w:b/>
        </w:rPr>
        <w:t xml:space="preserve">78–108 kBq (Co-60)</w:t>
      </w:r>
      <w:r>
        <w:t xml:space="preserve">. Against the waste</w:t>
      </w:r>
    </w:p>
    <w:p>
      <w:r>
        <w:t xml:space="preserve">activities of interest (1 MBq up to the ~56 MBq assay ceiling), these limits lie</w:t>
      </w:r>
    </w:p>
    <w:p>
      <w:r>
        <w:rPr>
          <w:b/>
        </w:rPr>
        <w:t xml:space="preserve">2.4 to 5.4 orders of magnitude below</w:t>
      </w:r>
      <w:r>
        <w:t xml:space="preserve"> the activity to be measured — Co-60 is</w:t>
      </w:r>
    </w:p>
    <w:p>
      <w:r>
        <w:t xml:space="preserve">2.4 orders below 1 MBq and 4.1 orders below 56 MBq; Cs-137 is 3.6 and 5.4 orders</w:t>
      </w:r>
    </w:p>
    <w:p>
      <w:r>
        <w:t xml:space="preserve">respectively. Detection and quantification of the nuclides of concern are</w:t>
      </w:r>
    </w:p>
    <w:p>
      <w:r>
        <w:t xml:space="preserve">therefore never limiting factors.</w:t>
      </w:r>
    </w:p>
    <w:p>
      <w:r>
        <w:t xml:space="preserve">*</w:t>
      </w:r>
      <w:r>
        <w:t xml:space="preserve">Caveat: the Co-60 background ROIs recorded a small residual Co-60 signal (sources</w:t>
      </w:r>
    </w:p>
    <w:p>
      <w:r>
        <w:t xml:space="preserve">in the vicinity during the blank), so the quoted Co-60 MDA is a conservative upper</w:t>
      </w:r>
    </w:p>
    <w:p>
      <w:r>
        <w:t xml:space="preserve">bound; a background with all Co-60 removed would be lower. Cs-137 background was zero,</w:t>
      </w:r>
    </w:p>
    <w:p>
      <w:r>
        <w:t xml:space="preserve">so its MDA sits at the Currie zero-background floor and scales as 1/T.</w:t>
      </w:r>
      <w:r>
        <w:t xml:space="preserve">*</w:t>
      </w:r>
    </w:p>
    <w:p>
      <w:pPr>
        <w:spacing w:before="160"/>
      </w:pPr>
      <w:r>
        <w:rPr>
          <w:b/>
          <w:sz w:val="24"/>
        </w:rPr>
        <w:t xml:space="preserve">3.4 Maximum activity and dead-time (Experiment C + manufacturer rating)</w:t>
      </w:r>
    </w:p>
    <w:p>
      <w:r>
        <w:t xml:space="preserve">The GeGi is rated by the manufacturer for </w:t>
      </w:r>
      <w:r>
        <w:rPr>
          <w:i/>
        </w:rPr>
        <w:t xml:space="preserve"/>
      </w:r>
      <w:r>
        <w:t xml:space="preserve">200 kcps at 10% dead-time in a</w:t>
      </w:r>
    </w:p>
    <w:p>
      <w:r>
        <w:t xml:space="preserve">15 mR/hr Co-60 field</w:t>
      </w:r>
      <w:r>
        <w:rPr>
          <w:i/>
        </w:rPr>
        <w:t xml:space="preserve"/>
      </w:r>
      <w:r>
        <w:t xml:space="preserve">. At the 0.33 m operational standoff this corresponds to a</w:t>
      </w:r>
    </w:p>
    <w:p>
      <w:r>
        <w:t xml:space="preserve">Co-60 activity of </w:t>
      </w:r>
      <w:r>
        <w:rPr>
          <w:b/>
        </w:rPr>
        <w:t xml:space="preserve">~46 MBq</w:t>
      </w:r>
      <w:r>
        <w:t xml:space="preserve"> (bare), or </w:t>
      </w:r>
      <w:r>
        <w:rPr>
          <w:b/>
        </w:rPr>
        <w:t xml:space="preserve">~56 MBq</w:t>
      </w:r>
      <w:r>
        <w:t xml:space="preserve"> through the permanent 5 mm</w:t>
      </w:r>
    </w:p>
    <w:p>
      <w:r>
        <w:t xml:space="preserve">plate, at which the dead-time is </w:t>
      </w:r>
      <w:r>
        <w:rPr>
          <w:b/>
        </w:rPr>
        <w:t xml:space="preserve">10%</w:t>
      </w:r>
      <w:r>
        <w:t xml:space="preserve">. Field measurements confirmed the detector</w:t>
      </w:r>
    </w:p>
    <w:p>
      <w:r>
        <w:t xml:space="preserve">operates at </w:t>
      </w:r>
      <w:r>
        <w:rPr>
          <w:b/>
        </w:rPr>
        <w:t xml:space="preserve">≤3% dead-time</w:t>
      </w:r>
      <w:r>
        <w:t xml:space="preserve"> across the tested source loadings, well within this</w:t>
      </w:r>
    </w:p>
    <w:p>
      <w:r>
        <w:t xml:space="preserve">limit. For trays exceeding ~56 MBq, additional 5 mm plates raise the tolerable</w:t>
      </w:r>
    </w:p>
    <w:p>
      <w:r>
        <w:t xml:space="preserve">activity by ~22% each (~69, 84, 102 MBq for 1, 2, 3 added plates) while</w:t>
      </w:r>
    </w:p>
    <w:p>
      <w:r>
        <w:t xml:space="preserve">simultaneously reducing operator dose.</w:t>
      </w:r>
    </w:p>
    <w:p>
      <w:r>
        <w:t xml:space="preserve">*</w:t>
      </w:r>
      <w:r>
        <w:t xml:space="preserve">Conversion basis: 15 mR/hr → 131 µGy/h air kerma (1 R = 8.76 mGy); Co-60 air-kerma</w:t>
      </w:r>
    </w:p>
    <w:p>
      <w:r>
        <w:t xml:space="preserve">rate constant Γ = 0.308 µGy·m²·MBq⁻¹·h⁻¹; A = K·d²/Γ at d = 0.33 m; shielded figures</w:t>
      </w:r>
    </w:p>
    <w:p>
      <w:r>
        <w:t xml:space="preserve">divide by the Co-60 plate transmission (~0.82 per plate).</w:t>
      </w:r>
      <w:r>
        <w:t xml:space="preserve">*</w:t>
      </w:r>
    </w:p>
    <w:p>
      <w:pPr>
        <w:spacing w:before="160"/>
      </w:pPr>
      <w:r>
        <w:rPr>
          <w:b/>
          <w:sz w:val="24"/>
        </w:rPr>
        <w:t xml:space="preserve">3.5 Repeatability (Experiment D)</w:t>
      </w:r>
    </w:p>
    <w:p>
      <w:r>
        <w:t xml:space="preserve">Repeatability was assessed from </w:t>
      </w:r>
      <w:r>
        <w:rPr>
          <w:b/>
        </w:rPr>
        <w:t xml:space="preserve">10 consecutive 5-minute assays</w:t>
      </w:r>
      <w:r>
        <w:t xml:space="preserve"> of the</w:t>
      </w:r>
    </w:p>
    <w:p>
      <w:r>
        <w:t xml:space="preserve">certificated Co-60 source. The per-run activity had a mean of </w:t>
      </w:r>
      <w:r>
        <w:rPr>
          <w:b/>
        </w:rPr>
        <w:t xml:space="preserve">1.128 MBq</w:t>
      </w:r>
      <w:r>
        <w:t xml:space="preserve"> against</w:t>
      </w:r>
    </w:p>
    <w:p>
      <w:r>
        <w:t xml:space="preserve">a decay-corrected certificate of 1.115 MBq (accuracy </w:t>
      </w:r>
      <w:r>
        <w:rPr>
          <w:b/>
        </w:rPr>
        <w:t xml:space="preserve">+1.2%</w:t>
      </w:r>
      <w:r>
        <w:t xml:space="preserve">), with a standard</w:t>
      </w:r>
    </w:p>
    <w:p>
      <w:r>
        <w:t xml:space="preserve">deviation of </w:t>
      </w:r>
      <w:r>
        <w:rPr>
          <w:b/>
        </w:rPr>
        <w:t xml:space="preserve">2.1%</w:t>
      </w:r>
      <w:r>
        <w:t xml:space="preserve"> (Type A, k = 1). The two Co-60 photopeaks agreed to 2.7%,</w:t>
      </w:r>
    </w:p>
    <w:p>
      <w:r>
        <w:t xml:space="preserve">confirming the corrected efficiency calibration. The 2.1% is carried as the Type A</w:t>
      </w:r>
    </w:p>
    <w:p>
      <w:r>
        <w:t xml:space="preserve">contribution in the uncertainty budget (§5).</w:t>
      </w:r>
    </w:p>
    <w:p>
      <w:pPr>
        <w:spacing w:before="160"/>
      </w:pPr>
      <w:r>
        <w:rPr>
          <w:b/>
          <w:sz w:val="24"/>
        </w:rPr>
        <w:t xml:space="preserve">3.6 Shielding transmission verification (Experiment F)</w:t>
      </w:r>
    </w:p>
    <w:p>
      <w:r>
        <w:t xml:space="preserve">The steel attenuation correction was verified by assaying a Co-60 source through 1,</w:t>
      </w:r>
    </w:p>
    <w:p>
      <w:r>
        <w:t xml:space="preserve">2 and 3 total 5 mm plates. Accounting for the source displacement per plate, the</w:t>
      </w:r>
    </w:p>
    <w:p>
      <w:r>
        <w:t xml:space="preserve">measured transmission agreed with the </w:t>
      </w:r>
      <w:r>
        <w:rPr>
          <w:rFonts w:ascii="Consolas" w:hAnsi="Consolas"/>
        </w:rPr>
        <w:t xml:space="preserve">exp(-µ·n·t)</w:t>
      </w:r>
      <w:r>
        <w:t xml:space="preserve"> model to within </w:t>
      </w:r>
      <w:r>
        <w:rPr>
          <w:b/>
        </w:rPr>
        <w:t xml:space="preserve">2.3%</w:t>
      </w:r>
      <w:r>
        <w:t xml:space="preserve">, and</w:t>
      </w:r>
    </w:p>
    <w:p>
      <w:r>
        <w:t xml:space="preserve">the fitted attenuation coefficients (</w:t>
      </w:r>
      <w:r>
        <w:rPr>
          <w:b/>
        </w:rPr>
        <w:t xml:space="preserve">44.1 /m at 1173 keV, 41.5 /m at 1332 keV</w:t>
      </w:r>
      <w:r>
        <w:t xml:space="preserve">)</w:t>
      </w:r>
    </w:p>
    <w:p>
      <w:r>
        <w:t xml:space="preserve">matched the standard-iron values used in the driver (41.8, 39.6 /m) to within</w:t>
      </w:r>
    </w:p>
    <w:p>
      <w:r>
        <w:rPr>
          <w:b/>
        </w:rPr>
        <w:t xml:space="preserve">5.5% and 4.7%</w:t>
      </w:r>
      <w:r>
        <w:t xml:space="preserve"> respectively — confirming the shielding correction that underpins</w:t>
      </w:r>
    </w:p>
    <w:p>
      <w:r>
        <w:t xml:space="preserve">both the activity measurement and the maximum-activity plate-scaling. The residual</w:t>
      </w:r>
    </w:p>
    <w:p>
      <w:r>
        <w:t xml:space="preserve">(measured attenuation slightly stronger than the standard-iron model) changes the</w:t>
      </w:r>
    </w:p>
    <w:p>
      <w:r>
        <w:t xml:space="preserve">transmission correction by </w:t>
      </w:r>
      <w:r>
        <w:rPr>
          <w:b/>
        </w:rPr>
        <w:t xml:space="preserve">1.0%</w:t>
      </w:r>
      <w:r>
        <w:t xml:space="preserve"> at the one-plate operational configuration.</w:t>
      </w:r>
    </w:p>
    <w:p>
      <w:r>
        <w:t xml:space="preserve">*</w:t>
      </w:r>
      <w:r>
        <w:t xml:space="preserve">(Cs-137, 662 keV, was not included in this run and retains the standard-iron</w:t>
      </w:r>
    </w:p>
    <w:p>
      <w:r>
        <w:t xml:space="preserve">value 57.4 /m — its shielding correction is therefore unverified.)</w:t>
      </w:r>
      <w:r>
        <w:t xml:space="preserve">*</w:t>
      </w:r>
    </w:p>
    <w:p>
      <w:r>
        <w:t xml:space="preserve">---</w:t>
      </w:r>
    </w:p>
    <w:p>
      <w:pPr>
        <w:spacing w:before="220"/>
      </w:pPr>
      <w:r>
        <w:rPr>
          <w:b/>
          <w:sz w:val="28"/>
        </w:rPr>
        <w:t xml:space="preserve">4. Integration — source position and imager-informed correction (Experiment E)</w:t>
      </w:r>
    </w:p>
    <w:p>
      <w:r>
        <w:t xml:space="preserve">Position sensitivity was assessed by assaying a Co-60 source at the centre and the</w:t>
      </w:r>
    </w:p>
    <w:p>
      <w:r>
        <w:t xml:space="preserve">four corner cells of a 35 cm × 35 cm tray (7 × 7 grid of 50 mm cells). A corner</w:t>
      </w:r>
    </w:p>
    <w:p>
      <w:r>
        <w:t xml:space="preserve">cell centre lies 0.212 m off-axis, i.e. </w:t>
      </w:r>
      <w:r>
        <w:rPr>
          <w:b/>
        </w:rPr>
        <w:t xml:space="preserve">0.392 m from the crystal at 32.7°</w:t>
      </w:r>
      <w:r>
        <w:t xml:space="preserve">,</w:t>
      </w:r>
    </w:p>
    <w:p>
      <w:r>
        <w:t xml:space="preserve">versus the assumed 0.33 m on-axis geometry. The corner sources read </w:t>
      </w:r>
      <w:r>
        <w:rPr>
          <w:b/>
        </w:rPr>
        <w:t xml:space="preserve">31% lower</w:t>
      </w:r>
    </w:p>
    <w:p>
      <w:r>
        <w:t xml:space="preserve">than the centred source (corner mean 69.0% of centre; individual corners</w:t>
      </w:r>
    </w:p>
    <w:p>
      <w:r>
        <w:t xml:space="preserve">64.5–72.3%). This is fully explained by the increased source-detector distance:</w:t>
      </w:r>
    </w:p>
    <w:p>
      <w:r>
        <w:t xml:space="preserve">the inverse-square law predicts a corner/centre ratio of </w:t>
      </w:r>
      <w:r>
        <w:rPr>
          <w:b/>
        </w:rPr>
        <w:t xml:space="preserve">70.8%</w:t>
      </w:r>
      <w:r>
        <w:t xml:space="preserve"> against the</w:t>
      </w:r>
    </w:p>
    <w:p>
      <w:r>
        <w:rPr>
          <w:b/>
        </w:rPr>
        <w:t xml:space="preserve">69.0% measured</w:t>
      </w:r>
      <w:r>
        <w:t xml:space="preserve">. Across the five positions the activity standard deviation was</w:t>
      </w:r>
    </w:p>
    <w:p>
      <w:r>
        <w:rPr>
          <w:b/>
        </w:rPr>
        <w:t xml:space="preserve">18.8%</w:t>
      </w:r>
      <w:r>
        <w:t xml:space="preserve">, making source position the </w:t>
      </w:r>
      <w:r>
        <w:rPr>
          <w:b/>
        </w:rPr>
        <w:t xml:space="preserve">dominant</w:t>
      </w:r>
      <w:r>
        <w:t xml:space="preserve"> contribution to assay</w:t>
      </w:r>
    </w:p>
    <w:p>
      <w:r>
        <w:t xml:space="preserve">uncertainty.</w:t>
      </w:r>
    </w:p>
    <w:p>
      <w:r>
        <w:t xml:space="preserve">This is the point at which the two roles combine. Because it is a geometric</w:t>
      </w:r>
    </w:p>
    <w:p>
      <w:r>
        <w:t xml:space="preserve">systematic rather than random scatter, and because the </w:t>
      </w:r>
      <w:r>
        <w:rPr>
          <w:i/>
        </w:rPr>
        <w:t xml:space="preserve"/>
      </w:r>
      <w:r>
        <w:t xml:space="preserve">imager locates the source</w:t>
      </w:r>
    </w:p>
    <w:p>
      <w:r>
        <w:t xml:space="preserve">to ~1° / ~1 cm (§2)</w:t>
      </w:r>
      <w:r>
        <w:rPr>
          <w:i/>
        </w:rPr>
        <w:t xml:space="preserve"/>
      </w:r>
      <w:r>
        <w:t xml:space="preserve">, the assay geometry can be corrected per source: the imaged</w:t>
      </w:r>
    </w:p>
    <w:p>
      <w:r>
        <w:t xml:space="preserve">position sets the true distance and off-axis angle used in the solid-angle</w:t>
      </w:r>
    </w:p>
    <w:p>
      <w:r>
        <w:t xml:space="preserve">calculation. This reduces the position term from ~19% to a few percent — the single</w:t>
      </w:r>
    </w:p>
    <w:p>
      <w:r>
        <w:t xml:space="preserve">largest available improvement in assay accuracy, and a direct realisation of the</w:t>
      </w:r>
    </w:p>
    <w:p>
      <w:r>
        <w:t xml:space="preserve">dual-role benefit the optioneering identified.</w:t>
      </w:r>
    </w:p>
    <w:p>
      <w:r>
        <w:t xml:space="preserve">---</w:t>
      </w:r>
    </w:p>
    <w:p>
      <w:pPr>
        <w:spacing w:before="220"/>
      </w:pPr>
      <w:r>
        <w:rPr>
          <w:b/>
          <w:sz w:val="28"/>
        </w:rPr>
        <w:t xml:space="preserve">5. Quantification uncertainty budget</w:t>
      </w:r>
    </w:p>
    <w:p>
      <w:r>
        <w:t xml:space="preserve">Standard uncertainties are 1σ; the expanded uncertainty is k = 2 (95%). Two columns:</w:t>
      </w:r>
    </w:p>
    <w:p>
      <w:r>
        <w:t xml:space="preserve">the current driver (fixed on-axis geometry) and with the imager-informed position</w:t>
      </w:r>
    </w:p>
    <w:p>
      <w:r>
        <w:t xml:space="preserve">correction of §4.</w:t>
      </w:r>
    </w:p>
    <w:p>
      <w:r>
        <w:t xml:space="preserve">Every row is labelled by </w:t>
      </w:r>
      <w:r>
        <w:rPr>
          <w:b/>
        </w:rPr>
        <w:t xml:space="preserve">provenance</w:t>
      </w:r>
      <w:r>
        <w:t xml:space="preserve">, so each figure is traceable:</w:t>
      </w:r>
    </w:p>
    <w:p>
      <w:r>
        <w:rPr>
          <w:b/>
        </w:rPr>
        <w:t xml:space="preserve">M</w:t>
      </w:r>
      <w:r>
        <w:t xml:space="preserve"> = measured directly in an experiment · </w:t>
      </w:r>
      <w:r>
        <w:rPr>
          <w:b/>
        </w:rPr>
        <w:t xml:space="preserve">D</w:t>
      </w:r>
      <w:r>
        <w:t xml:space="preserve"> = derived from a measurement by</w:t>
      </w:r>
    </w:p>
    <w:p>
      <w:r>
        <w:t xml:space="preserve">a stated calculation · </w:t>
      </w:r>
      <w:r>
        <w:rPr>
          <w:b/>
        </w:rPr>
        <w:t xml:space="preserve">E</w:t>
      </w:r>
      <w:r>
        <w:t xml:space="preserve"> = estimate not yet backed by measurement.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c>
          <w:tcPr>
            <w:tcW w:w="0" w:type="auto"/>
          </w:tcPr>
          <w:p>
            <w:r>
              <w:rPr>
                <w:b/>
                <w:sz w:val="20"/>
              </w:rPr>
              <w:t xml:space="preserve">Component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Type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Prov.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u (1σ)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Basis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Source position in tray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D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10.2%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Exp E measured corner/centre = 69.0% (range 64.5–100%). Modelled as rectangular over that range: (1−0.645)/2 / √3 = 10.2%.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Repeatability (Type A)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M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2.1%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Exp D: SD of 10 consecutive 5-min assays.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Efficiency / geometry transfer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M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1.1%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Exp B: Cs-137 residual (−1.1%) — the unadjusted, independent check of the 0.5 m → 0.33 m + plate transfer.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Reference source certificate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M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1.5%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Co-60 source BH-4103 certificate: 3% relative uncertainty, stated as </w:t>
            </w:r>
            <w:r>
              <w:rPr>
                <w:b/>
                <w:sz w:val="20"/>
              </w:rPr>
              <w:t xml:space="preserve">expanded at k = 2</w:t>
            </w:r>
            <w:r>
              <w:rPr>
                <w:sz w:val="20"/>
              </w:rPr>
              <w:t xml:space="preserve"> per GUM ⇒ standard uncertainty 1.5%. Traceable to PTB (standard Co-60 AN-6082, PTB-6.13-296/01.2019).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Shielding transmission (1 plate)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D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1.0%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Exp F: µ agreed to 5.5%; dT/T = t·dµ = 0.005 × (0.055 × 41.8) = 1.0%.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Dead-time correction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D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0.6%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Exp C: dead-time ≤3%; a ±20% relative error in the correction gives 0.03 × 0.20/(1−0.03) = 0.6%.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Co-60 coincidence summing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D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0.05%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Calculated at 0.33 m: solid angle 0.459%, Ge total-interaction probability 11.3% for the partner gamma ⇒ summing-out loss 0.05%. Negligible.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Background subtraction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M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negligible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Exp A: ROI background is single-digit counts against 10²–10³ net counts.</w:t>
            </w:r>
          </w:p>
        </w:tc>
      </w:tr>
      <w:tr>
        <w:tc>
          <w:tcPr>
            <w:tcW w:w="0" w:type="auto"/>
          </w:tcPr>
          <w:p>
            <w:r>
              <w:rPr>
                <w:b/>
                <w:sz w:val="20"/>
              </w:rPr>
              <w:t xml:space="preserve">Combined standard uncertainty (1σ)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10.6%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root-sum-square</w:t>
            </w:r>
          </w:p>
        </w:tc>
      </w:tr>
      <w:tr>
        <w:tc>
          <w:tcPr>
            <w:tcW w:w="0" w:type="auto"/>
          </w:tcPr>
          <w:p>
            <w:r>
              <w:rPr>
                <w:b/>
                <w:sz w:val="20"/>
              </w:rPr>
              <w:t xml:space="preserve">Expanded uncertainty (k = 2, 95%)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≈ 21.3%</w:t>
            </w:r>
          </w:p>
        </w:tc>
        <w:tc>
          <w:tcPr>
            <w:tcW w:w="0" w:type="auto"/>
          </w:tcPr>
          <w:p/>
        </w:tc>
      </w:tr>
    </w:tbl>
    <w:p>
      <w:r>
        <w:rPr>
          <w:b/>
        </w:rPr>
        <w:t xml:space="preserve">Every term is now measured, derived or calculated — none is estimated.</w:t>
      </w:r>
    </w:p>
    <w:p>
      <w:r>
        <w:t xml:space="preserve">The expanded uncertainty (k = 2, 95%) on a single-tray Co-60 assay is </w:t>
      </w:r>
      <w:r>
        <w:rPr>
          <w:b/>
        </w:rPr>
        <w:t xml:space="preserve">≈ 21%</w:t>
      </w:r>
      <w:r>
        <w:t xml:space="preserve">,</w:t>
      </w:r>
    </w:p>
    <w:p>
      <w:r>
        <w:t xml:space="preserve">dominated by source position within the tray; all other contributions combine to</w:t>
      </w:r>
    </w:p>
    <w:p>
      <w:r>
        <w:t xml:space="preserve">below 3%. The position error is a </w:t>
      </w:r>
      <w:r>
        <w:rPr>
          <w:b/>
        </w:rPr>
        <w:t xml:space="preserve">low bias</w:t>
      </w:r>
      <w:r>
        <w:t xml:space="preserve"> — off-centre sources read low, so</w:t>
      </w:r>
    </w:p>
    <w:p>
      <w:r>
        <w:t xml:space="preserve">the assay under-estimates activity unless corrected.</w:t>
      </w:r>
    </w:p>
    <w:p>
      <w:pPr>
        <w:spacing w:before="160"/>
      </w:pPr>
      <w:r>
        <w:rPr>
          <w:b/>
          <w:sz w:val="24"/>
        </w:rPr>
        <w:t xml:space="preserve">Projected uncertainty with the imager-informed position correction</w:t>
      </w:r>
    </w:p>
    <w:p>
      <w:r>
        <w:t xml:space="preserve">⚠️ </w:t>
      </w:r>
      <w:r>
        <w:rPr>
          <w:b/>
        </w:rPr>
        <w:t xml:space="preserve">This is a forecast, not a measurement.</w:t>
      </w:r>
      <w:r>
        <w:t xml:space="preserve"> The position correction of §4 is not</w:t>
      </w:r>
    </w:p>
    <w:p>
      <w:r>
        <w:t xml:space="preserve">yet implemented, so there is no measured residual. If the correction reduces the</w:t>
      </w:r>
    </w:p>
    <w:p>
      <w:r>
        <w:t xml:space="preserve">position term to ~3% (a reasonable expectation given the imager locates sources to</w:t>
      </w:r>
    </w:p>
    <w:p>
      <w:r>
        <w:t xml:space="preserve">~1° / ~6 mm at 0.33 m, §2), the budget becomes: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u (1σ)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Expanded (k=2)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With position term at 3.0% (projected)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4.5%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≈ 9%</w:t>
            </w:r>
          </w:p>
        </w:tc>
      </w:tr>
    </w:tbl>
    <w:p>
      <w:r>
        <w:t xml:space="preserve">This projection should be </w:t>
      </w:r>
      <w:r>
        <w:rPr>
          <w:b/>
        </w:rPr>
        <w:t xml:space="preserve">replaced by a measured value</w:t>
      </w:r>
      <w:r>
        <w:t xml:space="preserve"> once the correction is</w:t>
      </w:r>
    </w:p>
    <w:p>
      <w:r>
        <w:t xml:space="preserve">implemented and Experiment E is repeated.</w:t>
      </w:r>
    </w:p>
    <w:p>
      <w:r>
        <w:t xml:space="preserve">*</w:t>
      </w:r>
      <w:r>
        <w:t xml:space="preserve">Position treatment, stated explicitly: a corner cell reads 31% low (measured).</w:t>
      </w:r>
    </w:p>
    <w:p>
      <w:r>
        <w:t xml:space="preserve">Modelled as a rectangular distribution over the measured 64.5–100% range this gives</w:t>
      </w:r>
    </w:p>
    <w:p>
      <w:r>
        <w:t xml:space="preserve">a 10.2% standard uncertainty. The raw SD of the five measured positions was 18.8%;</w:t>
      </w:r>
    </w:p>
    <w:p>
      <w:r>
        <w:t xml:space="preserve">that is the more conservative figure but the 1-centre/4-corner sample over-weights</w:t>
      </w:r>
    </w:p>
    <w:p>
      <w:r>
        <w:t xml:space="preserve">the extremes, so the rectangular treatment is preferred. Using 18.8% instead would</w:t>
      </w:r>
    </w:p>
    <w:p>
      <w:r>
        <w:t xml:space="preserve">raise the expanded uncertainty to ≈ 38%.</w:t>
      </w:r>
      <w:r>
        <w:t xml:space="preserve">*</w:t>
      </w:r>
    </w:p>
    <w:p>
      <w:r>
        <w:t xml:space="preserve">---</w:t>
      </w:r>
    </w:p>
    <w:p>
      <w:r>
        <w:t xml:space="preserve">---</w:t>
      </w:r>
    </w:p>
    <w:p>
      <w:pPr>
        <w:spacing w:before="220"/>
      </w:pPr>
      <w:r>
        <w:rPr>
          <w:b/>
          <w:sz w:val="28"/>
        </w:rPr>
        <w:t xml:space="preserve">Appendix — data provenance (traceability)</w:t>
      </w:r>
    </w:p>
    <w:p>
      <w:r>
        <w:t xml:space="preserve">Every figure in this document traces to a raw data file and an analysis tool, so</w:t>
      </w:r>
    </w:p>
    <w:p>
      <w:r>
        <w:t xml:space="preserve">the numbers can be re-derived independently.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c>
          <w:tcPr>
            <w:tcW w:w="0" w:type="auto"/>
          </w:tcPr>
          <w:p>
            <w:r>
              <w:rPr>
                <w:b/>
                <w:sz w:val="20"/>
              </w:rPr>
              <w:t xml:space="preserve">Experiment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Raw data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Analysis tool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A — Limits of detection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data/Experiment A/20260710_095500_activity.csv</w:t>
            </w:r>
            <w:r>
              <w:rPr>
                <w:sz w:val="20"/>
              </w:rPr>
              <w:t xml:space="preserve"> (3606 s blank)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tools/mda.py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B — Efficiency validation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data/Experiment B/Cs137/20260709_114958_*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 xml:space="preserve">data/Experiment B/Co60/20260709_130120_*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tools/validate_efficiency.py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C — Max activity / dead-time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Manufacturer rating (GeGi manual) + </w:t>
            </w:r>
            <w:r>
              <w:rPr>
                <w:rFonts w:ascii="Consolas" w:hAnsi="Consolas"/>
                <w:sz w:val="20"/>
              </w:rPr>
              <w:t xml:space="preserve">tools/deadtime_monitor.py</w:t>
            </w:r>
            <w:r>
              <w:rPr>
                <w:sz w:val="20"/>
              </w:rPr>
              <w:t xml:space="preserve"> field readings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conversion shown in §3.4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D — Repeatability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data/Experiment D/</w:t>
            </w:r>
            <w:r>
              <w:rPr>
                <w:sz w:val="20"/>
              </w:rPr>
              <w:t xml:space="preserve"> (10 × 5-min Co-60)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tools/repeatability.py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E — Position sensitivity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data/Experiment E/</w:t>
            </w:r>
            <w:r>
              <w:rPr>
                <w:sz w:val="20"/>
              </w:rPr>
              <w:t xml:space="preserve"> (centre + 4 corners)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tools/position_check.py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F — Shielding transmission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data/Experiment F/</w:t>
            </w:r>
            <w:r>
              <w:rPr>
                <w:sz w:val="20"/>
              </w:rPr>
              <w:t xml:space="preserve"> (1, 2, 3 total plates)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tools/shielding_check.py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Localisation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6-position imaging trial + per-isotope heatmaps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reported directly</w:t>
            </w:r>
          </w:p>
        </w:tc>
      </w:tr>
    </w:tbl>
    <w:p>
      <w:r>
        <w:rPr>
          <w:b/>
        </w:rPr>
        <w:t xml:space="preserve">Calibration in force</w:t>
      </w:r>
      <w:r>
        <w:t xml:space="preserve"> (</w:t>
      </w:r>
      <w:r>
        <w:rPr>
          <w:rFonts w:ascii="Consolas" w:hAnsi="Consolas"/>
        </w:rPr>
        <w:t xml:space="preserve">config/isotopes.yaml</w:t>
      </w:r>
      <w:r>
        <w:t xml:space="preserve">): Cs-137 CF 45,672; Co-60 1173 keV</w:t>
      </w:r>
    </w:p>
    <w:p>
      <w:r>
        <w:t xml:space="preserve">CF 107,490; Co-60 1332 keV CF 152,010 Bq/cps at 0.5 m.</w:t>
      </w:r>
    </w:p>
    <w:p>
      <w:pPr>
        <w:spacing w:before="160"/>
      </w:pPr>
      <w:r>
        <w:rPr>
          <w:b/>
          <w:sz w:val="24"/>
        </w:rPr>
        <w:t xml:space="preserve">Reference source traceability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Co-60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Cs-137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Serial no.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BH-4103</w:t>
            </w:r>
          </w:p>
        </w:tc>
        <w:tc>
          <w:tcPr>
            <w:tcW w:w="0" w:type="auto"/>
          </w:tcPr>
          <w:p>
            <w:r>
              <w:rPr>
                <w:i/>
                <w:sz w:val="20"/>
              </w:rPr>
              <w:t xml:space="preserve">(to be recorded)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Certified activity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1.13 MBq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2.990 MBq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Reference date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1 June 2026, 12:00 UTC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1 June 2026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Relative uncertainty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3% (expanded, k = 2)</w:t>
            </w:r>
            <w:r>
              <w:rPr>
                <w:sz w:val="20"/>
              </w:rPr>
              <w:t xml:space="preserve"> ⇒ 1.5% standard</w:t>
            </w:r>
          </w:p>
        </w:tc>
        <w:tc>
          <w:tcPr>
            <w:tcW w:w="0" w:type="auto"/>
          </w:tcPr>
          <w:p>
            <w:r>
              <w:rPr>
                <w:i/>
                <w:sz w:val="20"/>
              </w:rPr>
              <w:t xml:space="preserve">(to be recorded)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Traceability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PTB</w:t>
            </w:r>
            <w:r>
              <w:rPr>
                <w:sz w:val="20"/>
              </w:rPr>
              <w:t xml:space="preserve"> — standard Co-60 AN-6082 (PTB-6.13-296/01.2019)</w:t>
            </w:r>
          </w:p>
        </w:tc>
        <w:tc>
          <w:tcPr>
            <w:tcW w:w="0" w:type="auto"/>
          </w:tcPr>
          <w:p>
            <w:r>
              <w:rPr>
                <w:i/>
                <w:sz w:val="20"/>
              </w:rPr>
              <w:t xml:space="preserve">(to be recorded)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Source form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Sealed; active surface Ø1 mm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—</w:t>
            </w:r>
          </w:p>
        </w:tc>
      </w:tr>
    </w:tbl>
    <w:p>
      <w:r>
        <w:t xml:space="preserve">The Co-60 certificate is traceable to a </w:t>
      </w:r>
      <w:r>
        <w:rPr>
          <w:b/>
        </w:rPr>
        <w:t xml:space="preserve">national primary standard (PTB)</w:t>
      </w:r>
      <w:r>
        <w:t xml:space="preserve">, satisfying</w:t>
      </w:r>
    </w:p>
    <w:p>
      <w:r>
        <w:t xml:space="preserve">the traceability-chain requirement. Its </w:t>
      </w:r>
      <w:r>
        <w:rPr>
          <w:b/>
        </w:rPr>
        <w:t xml:space="preserve">Ø1 mm active surface</w:t>
      </w:r>
      <w:r>
        <w:t xml:space="preserve"> also confirms the</w:t>
      </w:r>
    </w:p>
    <w:p>
      <w:r>
        <w:t xml:space="preserve">point-source assumption underlying the solid-angle model used throughout.</w:t>
      </w:r>
    </w:p>
    <w:p>
      <w:pPr>
        <w:spacing w:before="220"/>
      </w:pPr>
      <w:r>
        <w:rPr>
          <w:b/>
          <w:sz w:val="28"/>
        </w:rPr>
        <w:t xml:space="preserve">Outstanding — must be closed before issue</w:t>
      </w:r>
    </w:p>
    <w:p>
      <w:pPr>
        <w:ind w:left="360" w:hanging="360"/>
      </w:pPr>
      <w:r>
        <w:t xml:space="preserve">•  </w:t>
      </w:r>
      <w:r>
        <w:t xml:space="preserve">1. </w:t>
      </w:r>
      <w:r>
        <w:rPr>
          <w:b/>
        </w:rPr>
        <w:t xml:space="preserve">Cs-137 certificate details</w:t>
      </w:r>
      <w:r>
        <w:t xml:space="preserve"> — serial number, uncertainty and traceability</w:t>
      </w:r>
    </w:p>
    <w:p>
      <w:r>
        <w:t xml:space="preserve">statement, to complete the traceability chain (the Co-60 chain is complete).</w:t>
      </w:r>
    </w:p>
    <w:p>
      <w:pPr>
        <w:ind w:left="360" w:hanging="360"/>
      </w:pPr>
      <w:r>
        <w:t xml:space="preserve">•  </w:t>
      </w:r>
      <w:r>
        <w:t xml:space="preserve">2. </w:t>
      </w:r>
      <w:r>
        <w:rPr>
          <w:b/>
        </w:rPr>
        <w:t xml:space="preserve">Volume throughput</w:t>
      </w:r>
      <w:r>
        <w:t xml:space="preserve"> — needs the Auto-SAS tray cycle / handling time.</w:t>
      </w:r>
    </w:p>
    <w:p>
      <w:pPr>
        <w:ind w:left="360" w:hanging="360"/>
      </w:pPr>
      <w:r>
        <w:t xml:space="preserve">•  </w:t>
      </w:r>
      <w:r>
        <w:t xml:space="preserve">3. </w:t>
      </w:r>
      <w:r>
        <w:rPr>
          <w:b/>
        </w:rPr>
        <w:t xml:space="preserve">Cs-137 shielding µ (57.4 /m) is unverified</w:t>
      </w:r>
      <w:r>
        <w:t xml:space="preserve"> — Experiment F used Co-60 only.</w:t>
      </w:r>
    </w:p>
    <w:p>
      <w:pPr>
        <w:ind w:left="360" w:hanging="360"/>
      </w:pPr>
      <w:r>
        <w:t xml:space="preserve">•  </w:t>
      </w:r>
      <w:r>
        <w:t xml:space="preserve">4. </w:t>
      </w:r>
      <w:r>
        <w:rPr>
          <w:b/>
        </w:rPr>
        <w:t xml:space="preserve">The "corrected" uncertainty (≈9%) is a projection</w:t>
      </w:r>
      <w:r>
        <w:t xml:space="preserve">, not a measurement, until</w:t>
      </w:r>
    </w:p>
    <w:p>
      <w:r>
        <w:t xml:space="preserve">the position correction is implemented and Experiment E repeated.</w:t>
      </w:r>
    </w:p>
    <w:p>
      <w:pPr>
        <w:ind w:left="360" w:hanging="360"/>
      </w:pPr>
      <w:r>
        <w:t xml:space="preserve">•  </w:t>
      </w:r>
      <w:r>
        <w:t xml:space="preserve">5. </w:t>
      </w:r>
      <w:r>
        <w:rPr>
          <w:b/>
        </w:rPr>
        <w:t xml:space="preserve">Co-60 MDA is a conservative upper bound</w:t>
      </w:r>
      <w:r>
        <w:t xml:space="preserve"> — residual Co-60 was present in the</w:t>
      </w:r>
    </w:p>
    <w:p>
      <w:r>
        <w:t xml:space="preserve">room during the Experiment A blank.</w:t>
      </w:r>
    </w:p>
    <w:p>
      <w:pPr>
        <w:spacing w:before="220"/>
      </w:pPr>
      <w:r>
        <w:rPr>
          <w:b/>
          <w:sz w:val="28"/>
        </w:rPr>
        <w:t xml:space="preserve">Notes for the writer</w:t>
      </w:r>
    </w:p>
    <w:p>
      <w:pPr>
        <w:ind w:left="360" w:hanging="360"/>
      </w:pPr>
      <w:r>
        <w:t xml:space="preserve">•  </w:t>
      </w:r>
      <w:r>
        <w:t xml:space="preserve">The maximum-activity figures are </w:t>
      </w:r>
      <w:r>
        <w:rPr>
          <w:b/>
        </w:rPr>
        <w:t xml:space="preserve">anchored on the manufacturer rating</w:t>
      </w:r>
      <w:r>
        <w:t xml:space="preserve">, not an</w:t>
      </w:r>
    </w:p>
    <w:p>
      <w:r>
        <w:t xml:space="preserve">in-house rate-to-destruction test: the available check sources could not load the</w:t>
      </w:r>
    </w:p>
    <w:p>
      <w:r>
        <w:t xml:space="preserve">detector beyond ~2.5% dead-time, so the vendor's 200 kcps / 15 mR/hr rating is the</w:t>
      </w:r>
    </w:p>
    <w:p>
      <w:r>
        <w:t xml:space="preserve">correct and defensible basis.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Count times / throughput</w:t>
      </w:r>
      <w:r>
        <w:t xml:space="preserve"> are not yet final: throughput needs the mechanical</w:t>
      </w:r>
    </w:p>
    <w:p>
      <w:r>
        <w:t xml:space="preserve">Auto-SAS line-cycle time; the count time is bounded by the MDA (§3.3) and the</w:t>
      </w:r>
    </w:p>
    <w:p>
      <w:r>
        <w:t xml:space="preserve">400-net-count quantification gate.</w:t>
      </w:r>
    </w:p>
    <w:p>
      <w:pPr>
        <w:ind w:left="360" w:hanging="360"/>
      </w:pPr>
      <w:r>
        <w:t xml:space="preserve">•  </w:t>
      </w:r>
      <w:r>
        <w:t xml:space="preserve">The </w:t>
      </w:r>
      <w:r>
        <w:rPr>
          <w:b/>
        </w:rPr>
        <w:t xml:space="preserve">imager-informed position correction</w:t>
      </w:r>
      <w:r>
        <w:t xml:space="preserve"> (§4) is a proposed driver enhancement;</w:t>
      </w:r>
    </w:p>
    <w:p>
      <w:r>
        <w:t xml:space="preserve">state in the report whether it is implemented, as it changes the headline expanded</w:t>
      </w:r>
    </w:p>
    <w:p>
      <w:r>
        <w:t xml:space="preserve">uncertainty from ≈22% to ≈10%.</w:t>
      </w:r>
    </w:p>
    <w:sectPr>
      <w:pgSz w:w="12240" w:h="15840"/>
      <w:pgMar w:top="1134" w:bottom="1134" w:left="1134" w:right="1134"/>
    </w:sectPr>
  </w:body>
</w:document>
</file>