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DDC6" w14:textId="77777777" w:rsidR="000C7142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0" w:name="_Toc234376801"/>
      <w:proofErr w:type="spellStart"/>
      <w:r>
        <w:rPr>
          <w:rFonts w:ascii="Google Sans" w:eastAsia="Google Sans" w:hAnsi="Google Sans" w:cs="Google Sans"/>
          <w:color w:val="1F1F1F"/>
        </w:rPr>
        <w:t>Medexa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Claim Denials &amp; Appeals Knowledge Base</w:t>
      </w:r>
      <w:bookmarkEnd w:id="0"/>
    </w:p>
    <w:p w14:paraId="3299548E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1" w:name="_Toc234376802"/>
      <w:r>
        <w:rPr>
          <w:rFonts w:ascii="Google Sans" w:eastAsia="Google Sans" w:hAnsi="Google Sans" w:cs="Google Sans"/>
          <w:color w:val="1F1F1F"/>
        </w:rPr>
        <w:t>Specialty Focus: Outpatient Physical Therapy (PT), Occupational Therapy (OT), and Speech-Language Pathology (SLP)</w:t>
      </w:r>
      <w:bookmarkEnd w:id="1"/>
    </w:p>
    <w:sdt>
      <w:sdtPr>
        <w:id w:val="-167980539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2028117E" w14:textId="5ABE347C" w:rsidR="00B16FFC" w:rsidRDefault="00B16FFC">
          <w:pPr>
            <w:pStyle w:val="TOCHeading"/>
          </w:pPr>
          <w:r>
            <w:t>Table of Contents</w:t>
          </w:r>
        </w:p>
        <w:p w14:paraId="18C13D3C" w14:textId="385F2101" w:rsidR="00B16FFC" w:rsidRDefault="00B16FF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76801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Medexa Claim Denials &amp; Appeals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F732" w14:textId="772104FC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02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Specialty Focus: Outpatient Physical Therapy (PT), Occupational Therapy (OT), and Speech-Language Pathology (SLP)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0F2E" w14:textId="6AF3AC7E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03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1. Introduction to Claim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45A2" w14:textId="6078DFCF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04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2. What is a Claim Denial?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1D3C" w14:textId="5DAA5CE0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05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3. Difference Between Claim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6848" w14:textId="55F1EE96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06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Comparison Table: Rejected vs. Denied vs. Pending vs. RTP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51B1" w14:textId="62F9438B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07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4. Why Claims Get Denied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F4B5" w14:textId="32D19DD3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08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Decision Table: Preventable vs. Non-Preventable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6B78" w14:textId="5CC8A523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09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5. Types of Claim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9869" w14:textId="37A2129F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0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6. Medicare Claim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C85D" w14:textId="28C68DA0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1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7. Commercial Insurance Claim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77EB" w14:textId="38449B0C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12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Comparison Table: Medicare vs Commercial Appeals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4DEF" w14:textId="12EA9323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3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8. Common Denial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A252" w14:textId="515331CC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4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9. Medical Necessity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C4C2" w14:textId="42FDF56E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5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10. Documentation-Related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E1D52" w14:textId="2FA6DFF1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6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11. Coding-Related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B147" w14:textId="3CCD704C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17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Comparison Table: Documentation Errors vs Coding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8A625" w14:textId="0239C602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8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12. Prior Authorization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9982" w14:textId="7E7D455F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19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13. Timely Filing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FCF51" w14:textId="4424CF8A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20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14. Common Medicare Denial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2E04" w14:textId="113D3BF3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21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15. Common Therapy Billing Denials (PT, OT, SLP)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3641" w14:textId="085F0062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22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16. CARC Codes (Claim Adjustment Reason Codes)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13D8B" w14:textId="3CFDA8E6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23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Most Common Rehabilitation CARC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E6D9" w14:textId="02B3FBA9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24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17. RARC Codes (Remittance Advice Remark Codes)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D526" w14:textId="5F371811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25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CARC vs RARC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BCC4" w14:textId="12A60FE4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26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18. Claim Appeals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7A41" w14:textId="60B875CA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27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Decision Table: What to do after receiving a denial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DB4A" w14:textId="4ACAD9AA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28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19. Medicare Appeals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9140" w14:textId="095178FA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29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Comparison Table: Medicare Appeal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4F9D" w14:textId="6B6AA2CF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0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20. Appeal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348B" w14:textId="6C9F189D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1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21. Best Practices for Appeals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91BC" w14:textId="0837E239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2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22. Preventing Claim Denials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BFF3" w14:textId="6C2CFB15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3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23. Documentation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A145" w14:textId="3ADB5295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4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24. Compliance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C5A8" w14:textId="00254E1B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5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25. Claim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A5F6" w14:textId="4533D108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36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Text Flowchart: The Claim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7F5F" w14:textId="0A360F81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37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26. Real-World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73169" w14:textId="547A5566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38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Scenario A: Modifier Correction (Technical)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6815" w14:textId="328EAADD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39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Scenario B: Medical Necessity (Clinical)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A66E" w14:textId="26684E56" w:rsidR="00B16FFC" w:rsidRDefault="00B16F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376840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Scenario C: Timely Filing (Administrative)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714C" w14:textId="1F9FAD90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41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27. Frequently Asked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8584F" w14:textId="5B120B15" w:rsidR="00B16FFC" w:rsidRDefault="00B16F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76842" w:history="1">
            <w:r w:rsidRPr="00225493">
              <w:rPr>
                <w:rStyle w:val="Hyperlink"/>
                <w:rFonts w:ascii="Google Sans" w:eastAsia="Google Sans" w:hAnsi="Google Sans" w:cs="Google Sans"/>
                <w:noProof/>
              </w:rPr>
              <w:t>28.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_Toc234376842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D3DC" w14:textId="5E40104D" w:rsidR="00B16FFC" w:rsidRDefault="00B16FFC">
          <w:r>
            <w:rPr>
              <w:b/>
              <w:bCs/>
              <w:noProof/>
            </w:rPr>
            <w:fldChar w:fldCharType="end"/>
          </w:r>
        </w:p>
      </w:sdtContent>
    </w:sdt>
    <w:p w14:paraId="05EC2C3F" w14:textId="77777777" w:rsidR="00B16FFC" w:rsidRPr="00B16FFC" w:rsidRDefault="00B16FFC" w:rsidP="00B16FFC"/>
    <w:p w14:paraId="3F4D97F0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" w:name="_Toc234376803"/>
      <w:r>
        <w:rPr>
          <w:rFonts w:ascii="Google Sans" w:eastAsia="Google Sans" w:hAnsi="Google Sans" w:cs="Google Sans"/>
          <w:color w:val="1F1F1F"/>
        </w:rPr>
        <w:t>1. Introduction to Claim Denials</w:t>
      </w:r>
      <w:bookmarkEnd w:id="2"/>
    </w:p>
    <w:p w14:paraId="1ECAAF8D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An insurance claim denial is a formal, adjudicated determination by a health insurance payer (Medicare, Medicaid, or commercial) that a submitted medical claim will not be paid.</w:t>
      </w:r>
    </w:p>
    <w:p w14:paraId="60BD7423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For PT, OT, and SLP providers, denials represent severe financial bottlenecks. Therapy claims are highly scrutinized due to subjective clinical improvement thresholds and complex compliance rules (e.g., Therapy Cap modifiers).</w:t>
      </w:r>
    </w:p>
    <w:p w14:paraId="5F1D3A3B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Medicare Administrative Contractors (MACs) must enforce uniform processing standards. Claims that fail automated edits or medical reviews must receive a definitive remittance response outlining the legal and operational reasons for non-payment.</w:t>
      </w:r>
    </w:p>
    <w:p w14:paraId="7F4FC943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Treating all unpaid claims as "denials" rather than distinguishing between front-end rejections and adjudicated denials.</w:t>
      </w:r>
    </w:p>
    <w:p w14:paraId="32E91BC2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Deploy automated scrubbing within the revenue cycle management (RCM) system prior to clearinghouse submission.</w:t>
      </w:r>
    </w:p>
    <w:p w14:paraId="33DAA43D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submits a claim without checking eligibility. The claim processes through the payer system and denies because the patient's coverage lapsed 30 days prior.</w:t>
      </w:r>
    </w:p>
    <w:p w14:paraId="65DB8BEE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Always capture the Claim Adjustment Reason Code (CARC) directly into the </w:t>
      </w:r>
      <w:r>
        <w:rPr>
          <w:rFonts w:ascii="Google Sans" w:eastAsia="Google Sans" w:hAnsi="Google Sans" w:cs="Google Sans"/>
          <w:color w:val="1F1F1F"/>
        </w:rPr>
        <w:lastRenderedPageBreak/>
        <w:t>patient's billing profile for granular data classification.</w:t>
      </w:r>
    </w:p>
    <w:p w14:paraId="32940626" w14:textId="77777777" w:rsidR="000C71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Claims Processing Manual, Chapter 1 (General Billing Requirements)</w:t>
      </w:r>
    </w:p>
    <w:p w14:paraId="73BCADBA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" w:name="_Toc234376804"/>
      <w:r>
        <w:rPr>
          <w:rFonts w:ascii="Google Sans" w:eastAsia="Google Sans" w:hAnsi="Google Sans" w:cs="Google Sans"/>
          <w:color w:val="1F1F1F"/>
        </w:rPr>
        <w:t>2. What is a Claim Denial?</w:t>
      </w:r>
      <w:bookmarkEnd w:id="3"/>
    </w:p>
    <w:p w14:paraId="2861B52E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terminal status assigned to a claim that has passed through the payer's complete adjudication system, violates coverage policies, and is explicitly refused payment.</w:t>
      </w:r>
    </w:p>
    <w:p w14:paraId="47705BE2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A true denial cannot simply be retransmitted as a new claim. Resolving it requires a formal modification (corrected claim) or initiating the formal appeals process.</w:t>
      </w:r>
    </w:p>
    <w:p w14:paraId="3C81D374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An adjudicated denial constitutes an initial determination, granting the provider and beneficiary specific legal rights to challenge the decision via the appeals framework.</w:t>
      </w:r>
    </w:p>
    <w:p w14:paraId="5B99E7A0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Resubmitting an unchanged denied claim in hopes a different algorithmic or human reviewer will approve it, triggering a "duplicate claim" rejection.</w:t>
      </w:r>
    </w:p>
    <w:p w14:paraId="3A57C0D7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Isolate denied lines from paid lines immediately during payment posting to ensure clean financial tracking.</w:t>
      </w:r>
    </w:p>
    <w:p w14:paraId="538DB82B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physical therapy claim is denied for lack of medical necessity. The provider cannot just resubmit it; they must gather clinical notes and file a formal appeal.</w:t>
      </w:r>
    </w:p>
    <w:p w14:paraId="7EDF2F12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Look for remittance indicators such as "PR" (Patient Responsibility) or "CO" (Contractual Obligation) to determine if the balance can legally be billed to the patient.</w:t>
      </w:r>
    </w:p>
    <w:p w14:paraId="531DC37E" w14:textId="77777777" w:rsidR="000C714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Claims Processing Manual, Chapter 29 (Appeals of Claims Decisions)</w:t>
      </w:r>
    </w:p>
    <w:p w14:paraId="37E19FA7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4" w:name="_Toc234376805"/>
      <w:r>
        <w:rPr>
          <w:rFonts w:ascii="Google Sans" w:eastAsia="Google Sans" w:hAnsi="Google Sans" w:cs="Google Sans"/>
          <w:color w:val="1F1F1F"/>
        </w:rPr>
        <w:t>3. Difference Between Claim Statuses</w:t>
      </w:r>
      <w:bookmarkEnd w:id="4"/>
    </w:p>
    <w:p w14:paraId="65B68C34" w14:textId="77777777" w:rsidR="000C714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processing cycle categorization that determines the workflow path needed to resolve unpaid claims.</w:t>
      </w:r>
    </w:p>
    <w:p w14:paraId="272D8C1F" w14:textId="77777777" w:rsidR="000C714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Confusing these statuses leads to wasted work. You cannot appeal a "rejected" claim because no legal determination exists.</w:t>
      </w:r>
    </w:p>
    <w:p w14:paraId="196543F3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5" w:name="_Toc234376806"/>
      <w:r>
        <w:rPr>
          <w:rFonts w:ascii="Google Sans" w:eastAsia="Google Sans" w:hAnsi="Google Sans" w:cs="Google Sans"/>
          <w:color w:val="1F1F1F"/>
        </w:rPr>
        <w:t>Comparison Table: Rejected vs. Denied vs. Pending vs. RTP</w:t>
      </w:r>
      <w:bookmarkEnd w:id="5"/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C7142" w14:paraId="6B7A87F2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C8E1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3761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Adjudicated by Payer?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5847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Legal Appeal Rights?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72FFC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Correction Method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881DA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Impact on Timely Filing</w:t>
            </w:r>
          </w:p>
        </w:tc>
      </w:tr>
      <w:tr w:rsidR="000C7142" w14:paraId="4B25D38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E439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Rejected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3578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No. Stopped at clearinghouse.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2FE2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C61DA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Fix field errors and resubmit as new.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2B991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Can cause missed deadlines.</w:t>
            </w:r>
          </w:p>
        </w:tc>
      </w:tr>
      <w:tr w:rsidR="000C7142" w14:paraId="04AF8AD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1CD4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Denied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DA6D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Yes. Fully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evaluated.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7465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Yes.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2AAE8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Submit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corrected claim or formal appeal.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379A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Initial deadline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met; appeal limits apply.</w:t>
            </w:r>
          </w:p>
        </w:tc>
      </w:tr>
      <w:tr w:rsidR="000C7142" w14:paraId="3311F7B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DF4E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Pending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A295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 progress. suspended.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121D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No. Not final.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BD4C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Wait for request or submit requested info.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F8FF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Met initial deadline.</w:t>
            </w:r>
          </w:p>
        </w:tc>
      </w:tr>
      <w:tr w:rsidR="000C7142" w14:paraId="4165D5E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978F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Returned (RTP)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309E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Partial. Stopped mid-process.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0B3A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8A60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Correct online via Medicare DDE portal.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5E8E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Suspends deadline while in RTP.</w:t>
            </w:r>
          </w:p>
        </w:tc>
      </w:tr>
    </w:tbl>
    <w:p w14:paraId="7ACAE89C" w14:textId="77777777" w:rsidR="000C714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MACs are forbidden from fully adjudicating claims that lack essential data fields (such as a missing GP, GO, or GN modifier). These must be returned or rejected.</w:t>
      </w:r>
    </w:p>
    <w:p w14:paraId="554A9AA3" w14:textId="77777777" w:rsidR="000C714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Trying to appeal a clearinghouse rejection.</w:t>
      </w:r>
    </w:p>
    <w:p w14:paraId="2A1B43B2" w14:textId="77777777" w:rsidR="000C714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Monitor clearinghouse reports daily to catch rejections before they age.</w:t>
      </w:r>
    </w:p>
    <w:p w14:paraId="7300CD64" w14:textId="77777777" w:rsidR="000C714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An OT claim missing the "GO" modifier is rejected by the clearinghouse. The biller adds "GO" and resubmits the same day.</w:t>
      </w:r>
    </w:p>
    <w:p w14:paraId="00D46B58" w14:textId="77777777" w:rsidR="000C714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Treat rejections as urgent front-office tasks and denials as complex back-office tasks.</w:t>
      </w:r>
    </w:p>
    <w:p w14:paraId="7026C5BD" w14:textId="77777777" w:rsidR="000C714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Claims Processing Manual, Chapter 1, Section 80 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Unprocessable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Claims)</w:t>
      </w:r>
    </w:p>
    <w:p w14:paraId="1A7CDB66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6" w:name="_Toc234376807"/>
      <w:r>
        <w:rPr>
          <w:rFonts w:ascii="Google Sans" w:eastAsia="Google Sans" w:hAnsi="Google Sans" w:cs="Google Sans"/>
          <w:color w:val="1F1F1F"/>
        </w:rPr>
        <w:t>4. Why Claims Get Denied</w:t>
      </w:r>
      <w:bookmarkEnd w:id="6"/>
    </w:p>
    <w:p w14:paraId="42F9A11C" w14:textId="77777777" w:rsidR="000C714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root clinical, technical, or administrative failures that cause a payer to refuse payment.</w:t>
      </w:r>
    </w:p>
    <w:p w14:paraId="7DA68CD4" w14:textId="77777777" w:rsidR="000C714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Identifying root causes allows clinics to shift from reactive corrections to proactive prevention, aiming for a 95%+ clean claim rate.</w:t>
      </w:r>
    </w:p>
    <w:p w14:paraId="7975A32A" w14:textId="77777777" w:rsidR="000C714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CMS highlights that provider </w:t>
      </w:r>
      <w:proofErr w:type="gramStart"/>
      <w:r>
        <w:rPr>
          <w:rFonts w:ascii="Google Sans" w:eastAsia="Google Sans" w:hAnsi="Google Sans" w:cs="Google Sans"/>
          <w:color w:val="1F1F1F"/>
        </w:rPr>
        <w:t>error—</w:t>
      </w:r>
      <w:proofErr w:type="gramEnd"/>
      <w:r>
        <w:rPr>
          <w:rFonts w:ascii="Google Sans" w:eastAsia="Google Sans" w:hAnsi="Google Sans" w:cs="Google Sans"/>
          <w:color w:val="1F1F1F"/>
        </w:rPr>
        <w:t>specifically failing to document the skilled nature of therapy—is a leading cause of pre-payment denials.</w:t>
      </w:r>
    </w:p>
    <w:p w14:paraId="31016FBB" w14:textId="77777777" w:rsidR="000C714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Blaming the payer for algorithmic denials that could have been caught by internal software rules.</w:t>
      </w:r>
    </w:p>
    <w:p w14:paraId="1F281AF3" w14:textId="77777777" w:rsidR="000C714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Categorize denials by source: Front-Office (eligibility), Clinical (documentation), or Back-Office (coding).</w:t>
      </w:r>
    </w:p>
    <w:p w14:paraId="609E90BA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7" w:name="_Toc234376808"/>
      <w:r>
        <w:rPr>
          <w:rFonts w:ascii="Google Sans" w:eastAsia="Google Sans" w:hAnsi="Google Sans" w:cs="Google Sans"/>
          <w:color w:val="1F1F1F"/>
        </w:rPr>
        <w:t>Decision Table: Preventable vs. Non-Preventable Denials</w:t>
      </w:r>
      <w:bookmarkEnd w:id="7"/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C7142" w14:paraId="25182C7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30F1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Denial Reason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748FC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7E501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Cause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9421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Remediation Strategy</w:t>
            </w:r>
          </w:p>
        </w:tc>
      </w:tr>
      <w:tr w:rsidR="000C7142" w14:paraId="4F53F91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EA41A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Missing Discipline Modifier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A4F3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Preventable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EB02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Coding Error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98018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Implement RCM software hard-stops for missing GP/GO/GN modifiers.</w:t>
            </w:r>
          </w:p>
        </w:tc>
      </w:tr>
      <w:tr w:rsidR="000C7142" w14:paraId="3B27444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73E5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Auth Limit Exceeded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08EA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Preventable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CF20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Tracking Error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E0F8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 countdown alerts for authorized visits.</w:t>
            </w:r>
          </w:p>
        </w:tc>
      </w:tr>
      <w:tr w:rsidR="000C7142" w14:paraId="2C4E7B4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235B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Plan Exclusion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3D85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Non-Preventable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E7AAA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Benefit Design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47A2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Review coverage during intake and execute an ABN.</w:t>
            </w:r>
          </w:p>
        </w:tc>
      </w:tr>
    </w:tbl>
    <w:p w14:paraId="59DBA9EB" w14:textId="77777777" w:rsidR="000C714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receives 50 denials because a new therapist failed to sign their daily notes, triggering automated payer audits.</w:t>
      </w:r>
    </w:p>
    <w:p w14:paraId="5B128622" w14:textId="77777777" w:rsidR="000C714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Track denial reasons by provider NPI to identify clinicians who need documentation training.</w:t>
      </w:r>
    </w:p>
    <w:p w14:paraId="70B09BC4" w14:textId="77777777" w:rsidR="000C714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Program Integrity Manual, Chapter 3</w:t>
      </w:r>
    </w:p>
    <w:p w14:paraId="4254B11A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8" w:name="_Toc234376809"/>
      <w:r>
        <w:rPr>
          <w:rFonts w:ascii="Google Sans" w:eastAsia="Google Sans" w:hAnsi="Google Sans" w:cs="Google Sans"/>
          <w:color w:val="1F1F1F"/>
        </w:rPr>
        <w:t>5. Types of Claim Denials</w:t>
      </w:r>
      <w:bookmarkEnd w:id="8"/>
    </w:p>
    <w:p w14:paraId="461B18DF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are classified into distinct categories: Hard, Soft, Administrative, and Clinical.</w:t>
      </w:r>
    </w:p>
    <w:p w14:paraId="18960878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Categorization dictates the exact workflow and personnel required to fix the claim.</w:t>
      </w:r>
    </w:p>
    <w:p w14:paraId="4ECF94D2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When a MAC issues </w:t>
      </w:r>
      <w:proofErr w:type="gramStart"/>
      <w:r>
        <w:rPr>
          <w:rFonts w:ascii="Google Sans" w:eastAsia="Google Sans" w:hAnsi="Google Sans" w:cs="Google Sans"/>
          <w:color w:val="1F1F1F"/>
        </w:rPr>
        <w:t>a clinical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necessity denial, it must explicitly cite the Local Coverage Determination (LCD) or National Coverage Determination (NCD) used.</w:t>
      </w:r>
    </w:p>
    <w:p w14:paraId="0C8D2318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Routing clinical medical necessity denials to administrative billers who lack the clinical knowledge to write an appeal letter.</w:t>
      </w:r>
    </w:p>
    <w:p w14:paraId="1D880B4A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Immediately route clinical denials to the clinical director or treating therapist.</w:t>
      </w:r>
    </w:p>
    <w:p w14:paraId="0725D8DF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"Soft Denial" requests the patient's primary EOB for coordination of benefits. The biller uploads the document, and the claim processes. A "Hard Denial" for a missed timely filing deadline requires an immediate write-off.</w:t>
      </w:r>
    </w:p>
    <w:p w14:paraId="51FDA553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Build RCM queues that automatically route CARC 50 (Medical Necessity) to </w:t>
      </w:r>
      <w:r>
        <w:rPr>
          <w:rFonts w:ascii="Google Sans" w:eastAsia="Google Sans" w:hAnsi="Google Sans" w:cs="Google Sans"/>
          <w:color w:val="1F1F1F"/>
        </w:rPr>
        <w:lastRenderedPageBreak/>
        <w:t>clinicians and CARC 16 (Missing Info) to billers.</w:t>
      </w:r>
    </w:p>
    <w:p w14:paraId="0ABC317B" w14:textId="77777777" w:rsidR="000C7142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Medicare Learning Network (MLN) Fact Sheets</w:t>
      </w:r>
    </w:p>
    <w:p w14:paraId="70C2E45E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9" w:name="_Toc234376810"/>
      <w:r>
        <w:rPr>
          <w:rFonts w:ascii="Google Sans" w:eastAsia="Google Sans" w:hAnsi="Google Sans" w:cs="Google Sans"/>
          <w:color w:val="1F1F1F"/>
        </w:rPr>
        <w:t>6. Medicare Claim Denials</w:t>
      </w:r>
      <w:bookmarkEnd w:id="9"/>
    </w:p>
    <w:p w14:paraId="7FBFDC30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issued strictly under federal guidelines, CMS manuals, and regional MAC (Medicare Administrative Contractor) rules.</w:t>
      </w:r>
    </w:p>
    <w:p w14:paraId="7E6F08F5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Medicare applies rigid, standardized rules (NCDs and LCDs) uniformly, unlike commercial payers which vary by employer group.</w:t>
      </w:r>
    </w:p>
    <w:p w14:paraId="04B79206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All outpatient therapy services must be billed with discipline-specific modifiers (GP, GO, GN). Surpassing financial thresholds without appending the KX modifier results in automatic denials.</w:t>
      </w:r>
    </w:p>
    <w:p w14:paraId="11699CC4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Assuming a service covered by one MAC (e.g., </w:t>
      </w:r>
      <w:proofErr w:type="spellStart"/>
      <w:r>
        <w:rPr>
          <w:rFonts w:ascii="Google Sans" w:eastAsia="Google Sans" w:hAnsi="Google Sans" w:cs="Google Sans"/>
          <w:color w:val="1F1F1F"/>
        </w:rPr>
        <w:t>Novitas</w:t>
      </w:r>
      <w:proofErr w:type="spellEnd"/>
      <w:r>
        <w:rPr>
          <w:rFonts w:ascii="Google Sans" w:eastAsia="Google Sans" w:hAnsi="Google Sans" w:cs="Google Sans"/>
          <w:color w:val="1F1F1F"/>
        </w:rPr>
        <w:t>) is automatically covered under the exact same ICD-10 codes by another MAC (e.g., Palmetto).</w:t>
      </w:r>
    </w:p>
    <w:p w14:paraId="1BAFC19B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Download and integrate the specific LCDs and Local Coverage Articles (LCAs) for your region into your AI rules engine.</w:t>
      </w:r>
    </w:p>
    <w:p w14:paraId="40A305D7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PT clinic bills Medicare for an evaluation. It </w:t>
      </w:r>
      <w:proofErr w:type="gramStart"/>
      <w:r>
        <w:rPr>
          <w:rFonts w:ascii="Google Sans" w:eastAsia="Google Sans" w:hAnsi="Google Sans" w:cs="Google Sans"/>
          <w:color w:val="1F1F1F"/>
        </w:rPr>
        <w:t>denies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because the ICD-10 code used was missing a required 7th character indicating the encounter type (initial vs. subsequent), violating the regional LCA.</w:t>
      </w:r>
    </w:p>
    <w:p w14:paraId="4923DB3A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Frequently audit your practice's utilization against the Medicare Targeted Medical Review thresholds to anticipate audit requests.</w:t>
      </w:r>
    </w:p>
    <w:p w14:paraId="7F9E1CE7" w14:textId="77777777" w:rsidR="000C7142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Claims Processing Manual, Chapter 5 (Part B Outpatient Rehabilitation)</w:t>
      </w:r>
    </w:p>
    <w:p w14:paraId="6FC7CC24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0" w:name="_Toc234376811"/>
      <w:r>
        <w:rPr>
          <w:rFonts w:ascii="Google Sans" w:eastAsia="Google Sans" w:hAnsi="Google Sans" w:cs="Google Sans"/>
          <w:color w:val="1F1F1F"/>
        </w:rPr>
        <w:t>7. Commercial Insurance Claim Denials</w:t>
      </w:r>
      <w:bookmarkEnd w:id="10"/>
    </w:p>
    <w:p w14:paraId="5EEF7597" w14:textId="77777777" w:rsidR="000C7142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issued by private payers (UHC, Aetna, BCBS) governed by proprietary internal guidelines and employer group contracts.</w:t>
      </w:r>
    </w:p>
    <w:p w14:paraId="237F0D14" w14:textId="77777777" w:rsidR="000C7142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Commercial rules require navigating distinct networks, prior authorization requirements, and strict visit maximums that do not exist in traditional Medicare.</w:t>
      </w:r>
    </w:p>
    <w:p w14:paraId="5C258F55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11" w:name="_Toc234376812"/>
      <w:r>
        <w:rPr>
          <w:rFonts w:ascii="Google Sans" w:eastAsia="Google Sans" w:hAnsi="Google Sans" w:cs="Google Sans"/>
          <w:color w:val="1F1F1F"/>
        </w:rPr>
        <w:t>Comparison Table: Medicare vs Commercial Appeals</w:t>
      </w:r>
      <w:bookmarkEnd w:id="11"/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C7142" w14:paraId="5C6A531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88C4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9E51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Medicare Part B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796A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Commercial Insurance</w:t>
            </w:r>
          </w:p>
        </w:tc>
      </w:tr>
      <w:tr w:rsidR="000C7142" w14:paraId="1FE838E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2607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Regulatory Law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B772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Federal CMS Statutes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78078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State Insurance Law / ERISA</w:t>
            </w:r>
          </w:p>
        </w:tc>
      </w:tr>
      <w:tr w:rsidR="000C7142" w14:paraId="17612FB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B264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Prior Authorization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7FBA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required for standard therapy.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F418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Mandatory for most therapy plans.</w:t>
            </w:r>
          </w:p>
        </w:tc>
      </w:tr>
      <w:tr w:rsidR="000C7142" w14:paraId="6993264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0FD6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Level 1 Deadline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6953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120 days from initial determination.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814C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Varies widely (often 90–180 days).</w:t>
            </w:r>
          </w:p>
        </w:tc>
      </w:tr>
      <w:tr w:rsidR="000C7142" w14:paraId="7E69BD2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FA2E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Independent Review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8FAC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Qualified Independent Contractor (QIC)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9074C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State Insurance Commissioner</w:t>
            </w:r>
          </w:p>
        </w:tc>
      </w:tr>
    </w:tbl>
    <w:p w14:paraId="3989A8FA" w14:textId="77777777" w:rsidR="000C714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Commercial Medicare Advantage (Part C) plans must provide at least the same benefits as Part </w:t>
      </w:r>
      <w:proofErr w:type="gramStart"/>
      <w:r>
        <w:rPr>
          <w:rFonts w:ascii="Google Sans" w:eastAsia="Google Sans" w:hAnsi="Google Sans" w:cs="Google Sans"/>
          <w:color w:val="1F1F1F"/>
        </w:rPr>
        <w:t>B, but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may utilize independent prior authorization networks (like </w:t>
      </w:r>
      <w:proofErr w:type="spellStart"/>
      <w:r>
        <w:rPr>
          <w:rFonts w:ascii="Google Sans" w:eastAsia="Google Sans" w:hAnsi="Google Sans" w:cs="Google Sans"/>
          <w:color w:val="1F1F1F"/>
        </w:rPr>
        <w:t>Evicore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ASH) to manage utilization.</w:t>
      </w:r>
    </w:p>
    <w:p w14:paraId="712460C0" w14:textId="77777777" w:rsidR="000C714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Believing a commercial plan covers an intervention just because traditional Medicare covers it.</w:t>
      </w:r>
    </w:p>
    <w:p w14:paraId="1BA08F1A" w14:textId="77777777" w:rsidR="000C714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Always check the payer's specific Clinical Policy Bulletins (CPBs) for therapy.</w:t>
      </w:r>
    </w:p>
    <w:p w14:paraId="799E9AE7" w14:textId="77777777" w:rsidR="000C714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patient has 20 combined PT/OT visits per year under Cigna. The clinic bills visit 21. It denies as patient responsibility.</w:t>
      </w:r>
    </w:p>
    <w:p w14:paraId="54A9948A" w14:textId="77777777" w:rsidR="000C714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Secure authorization approvals in writing and store the reference number directly in the patient's demographic file.</w:t>
      </w:r>
    </w:p>
    <w:p w14:paraId="08B45F75" w14:textId="77777777" w:rsidR="000C714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Advantage Prior Authorization Regulations</w:t>
      </w:r>
    </w:p>
    <w:p w14:paraId="0ABEBF82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2" w:name="_Toc234376813"/>
      <w:r>
        <w:rPr>
          <w:rFonts w:ascii="Google Sans" w:eastAsia="Google Sans" w:hAnsi="Google Sans" w:cs="Google Sans"/>
          <w:color w:val="1F1F1F"/>
        </w:rPr>
        <w:t>8. Common Denial Categories</w:t>
      </w:r>
      <w:bookmarkEnd w:id="12"/>
    </w:p>
    <w:p w14:paraId="52C593F3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standard operational buckets where most revenue leakage occurs: Eligibility, Authorization, Coding, Documentation, Medical Necessity, Timely Filing, Duplicate Claims, Missing Info, and Coordination of Benefits (COB).</w:t>
      </w:r>
    </w:p>
    <w:p w14:paraId="00C9B430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Pinpointing the category allows RCM managers to deploy targeted workflow fixes.</w:t>
      </w:r>
    </w:p>
    <w:p w14:paraId="55123FEC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CMS requires that claims be submitted clean the first time. High error rates in specific categories can trigger Pre-Payment Review status.</w:t>
      </w:r>
    </w:p>
    <w:p w14:paraId="382B1A33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Sending claims to secondary insurance before the primary insurance has adjudicated the claim (triggering a COB denial).</w:t>
      </w:r>
    </w:p>
    <w:p w14:paraId="6898F72F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Run eligibility batch checks 48 hours prior to scheduled therapy appointments.</w:t>
      </w:r>
    </w:p>
    <w:p w14:paraId="4F4FAC0D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submits two identical claims for the same date of service because the first one "seemed stuck." The second claim denies instantly as an exact duplicate.</w:t>
      </w:r>
    </w:p>
    <w:p w14:paraId="3E8850BB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When rebilling a legitimate duplicate service (e.g., two distinct therapy sessions on the same day), use Modifier 59 to bypass the duplicate edit.</w:t>
      </w:r>
    </w:p>
    <w:p w14:paraId="0E8DDFE4" w14:textId="77777777" w:rsidR="000C7142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Medicare Claims Processing Manual, Chapter 26 (Completing the CMS-1500 Form)</w:t>
      </w:r>
    </w:p>
    <w:p w14:paraId="73D2EC04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3" w:name="_Toc234376814"/>
      <w:r>
        <w:rPr>
          <w:rFonts w:ascii="Google Sans" w:eastAsia="Google Sans" w:hAnsi="Google Sans" w:cs="Google Sans"/>
          <w:color w:val="1F1F1F"/>
        </w:rPr>
        <w:t>9. Medical Necessity Denials</w:t>
      </w:r>
      <w:bookmarkEnd w:id="13"/>
    </w:p>
    <w:p w14:paraId="7DB54C83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issued when a payer's clinical review determines the billed interventions did not require the specialized skills of a licensed therapist, or that the patient had plateaued.</w:t>
      </w:r>
    </w:p>
    <w:p w14:paraId="2F452F8F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These are the most difficult to overturn. They require robust, objective clinical documentation to win </w:t>
      </w:r>
      <w:proofErr w:type="gramStart"/>
      <w:r>
        <w:rPr>
          <w:rFonts w:ascii="Google Sans" w:eastAsia="Google Sans" w:hAnsi="Google Sans" w:cs="Google Sans"/>
          <w:color w:val="1F1F1F"/>
        </w:rPr>
        <w:t>on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appeal.</w:t>
      </w:r>
    </w:p>
    <w:p w14:paraId="0C3E3F11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Services must be reasonable, necessary, and require the skills of a therapist. Maintenance programs are covered only if a therapist's skill is required to establish or safely execute them.</w:t>
      </w:r>
    </w:p>
    <w:p w14:paraId="4B0638E8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Using "cloned" notes (copy-pasting the exact same subjective and objective text day after day).</w:t>
      </w:r>
    </w:p>
    <w:p w14:paraId="48C1EBEE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Document the precise manual cues, safety corrections, and physiological monitoring provided during the session.</w:t>
      </w:r>
    </w:p>
    <w:p w14:paraId="5284E685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An OT claim is denied. The daily note read: "Patient folded laundry for 15 mins." The appeal wins by rewriting the clinical reality: "OT provided moderate tactile cues to right hemiparetic upper extremity to facilitate midline crossing during functional ADL task."</w:t>
      </w:r>
    </w:p>
    <w:p w14:paraId="4F8C6D15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Always tie today's intervention directly to a long-term functional goal (e.g., ambulating safely to the bathroom).</w:t>
      </w:r>
    </w:p>
    <w:p w14:paraId="5941A6A1" w14:textId="77777777" w:rsidR="000C7142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Benefit Policy Manual, Chapter 15, Section 220.2</w:t>
      </w:r>
    </w:p>
    <w:p w14:paraId="46A24CD3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4" w:name="_Toc234376815"/>
      <w:r>
        <w:rPr>
          <w:rFonts w:ascii="Google Sans" w:eastAsia="Google Sans" w:hAnsi="Google Sans" w:cs="Google Sans"/>
          <w:color w:val="1F1F1F"/>
        </w:rPr>
        <w:t>10. Documentation-Related Denials</w:t>
      </w:r>
      <w:bookmarkEnd w:id="14"/>
    </w:p>
    <w:p w14:paraId="5B6A086D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triggered by a failure to meet structural record-keeping rules, such as missing signatures, time logs, or certifications.</w:t>
      </w:r>
    </w:p>
    <w:p w14:paraId="0DD22C45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Even if care was medically necessary, missing a legal signature renders the claim unpayable.</w:t>
      </w:r>
    </w:p>
    <w:p w14:paraId="52F91168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The Plan of Care (POC) must be certified (signed and dated) by a physician within 30 days of the initial evaluation.</w:t>
      </w:r>
    </w:p>
    <w:p w14:paraId="381DA16B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Forgetting to record total session time alongside direct one-on-one treatment time.</w:t>
      </w:r>
    </w:p>
    <w:p w14:paraId="63C64928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Use an EMR that prevents clinicians from closing a daily note if the signature or time fields are blank.</w:t>
      </w:r>
    </w:p>
    <w:p w14:paraId="48F161B7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Medicare audit retracts $5,000 in PT payments because the clinic could not produce a physician-signed Plan of Care for the treatment period.</w:t>
      </w:r>
    </w:p>
    <w:p w14:paraId="6F3E8FAE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Track physician certifications fiercely. Fax reminders </w:t>
      </w:r>
      <w:proofErr w:type="gramStart"/>
      <w:r>
        <w:rPr>
          <w:rFonts w:ascii="Google Sans" w:eastAsia="Google Sans" w:hAnsi="Google Sans" w:cs="Google Sans"/>
          <w:color w:val="1F1F1F"/>
        </w:rPr>
        <w:t>at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day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14, 21, and 28.</w:t>
      </w:r>
    </w:p>
    <w:p w14:paraId="4E1AFD1F" w14:textId="77777777" w:rsidR="000C7142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MLN Booklet: Outpatient Therapy Documentation Requirements</w:t>
      </w:r>
    </w:p>
    <w:p w14:paraId="7C6D724A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5" w:name="_Toc234376816"/>
      <w:r>
        <w:rPr>
          <w:rFonts w:ascii="Google Sans" w:eastAsia="Google Sans" w:hAnsi="Google Sans" w:cs="Google Sans"/>
          <w:color w:val="1F1F1F"/>
        </w:rPr>
        <w:t>11. Coding-Related Denials</w:t>
      </w:r>
      <w:bookmarkEnd w:id="15"/>
    </w:p>
    <w:p w14:paraId="0DC66D88" w14:textId="77777777" w:rsidR="000C7142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resulting from invalid code combinations, missing modifiers, or exceeding daily unit caps.</w:t>
      </w:r>
    </w:p>
    <w:p w14:paraId="1064BC92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16" w:name="_Toc234376817"/>
      <w:r>
        <w:rPr>
          <w:rFonts w:ascii="Google Sans" w:eastAsia="Google Sans" w:hAnsi="Google Sans" w:cs="Google Sans"/>
          <w:color w:val="1F1F1F"/>
        </w:rPr>
        <w:t>Comparison Table: Documentation Errors vs Coding Errors</w:t>
      </w:r>
      <w:bookmarkEnd w:id="16"/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C7142" w14:paraId="74E1168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2EF6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Feature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7FFE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Documentation Error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098C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Coding Error</w:t>
            </w:r>
          </w:p>
        </w:tc>
      </w:tr>
      <w:tr w:rsidR="000C7142" w14:paraId="0554739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A20E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Code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CC1B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CARC 55 / RARC N225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153B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CARC 16 / CARC 97</w:t>
            </w:r>
          </w:p>
        </w:tc>
      </w:tr>
      <w:tr w:rsidR="000C7142" w14:paraId="113A8BC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3038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Detection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A46A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Human auditor review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63A6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Algorithmic software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edit</w:t>
            </w:r>
            <w:proofErr w:type="gramEnd"/>
          </w:p>
        </w:tc>
      </w:tr>
      <w:tr w:rsidR="000C7142" w14:paraId="1B07D8D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14AC1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Fix Method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D927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Submit clinical notes/appeal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8126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Correct and resubmit claim</w:t>
            </w:r>
          </w:p>
        </w:tc>
      </w:tr>
      <w:tr w:rsidR="000C7142" w14:paraId="0C7F42B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6392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Responsible Team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C260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Therapist / Clinician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A9FB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Biller / Coder</w:t>
            </w:r>
          </w:p>
        </w:tc>
      </w:tr>
    </w:tbl>
    <w:p w14:paraId="0930637F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Coding edits are absolute algorithmic rules. You cannot "appeal" an NCCI edit without the proper modifier.</w:t>
      </w:r>
    </w:p>
    <w:p w14:paraId="2065A4E7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CMS publishes quarterly NCCI (National Correct Coding Initiative) tables dictating which CPT codes cannot be billed together.</w:t>
      </w:r>
    </w:p>
    <w:p w14:paraId="7673FA5F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Billing 5 units of a timed code when the Medically Unlikely Edit (MUE) limit is 4.</w:t>
      </w:r>
    </w:p>
    <w:p w14:paraId="5A590127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Keep the RCM software updated with the latest quarterly NCCI and MUE tables.</w:t>
      </w:r>
    </w:p>
    <w:p w14:paraId="238E0BB6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Billing CPT 97140 (Manual Therapy) and 97530 (Therapeutic Activities) together. It denies unless Modifier 59 is applied to show they occurred in distinct 15-minute time blocks.</w:t>
      </w:r>
    </w:p>
    <w:p w14:paraId="1B641717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Always check primary diagnosis codes against the MAC's LCD database to ensure they are valid for the specific therapy being billed.</w:t>
      </w:r>
    </w:p>
    <w:p w14:paraId="69D69C41" w14:textId="77777777" w:rsidR="000C7142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National Correct Coding Initiative (NCCI) Policy Manual</w:t>
      </w:r>
    </w:p>
    <w:p w14:paraId="69354DB7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7" w:name="_Toc234376818"/>
      <w:r>
        <w:rPr>
          <w:rFonts w:ascii="Google Sans" w:eastAsia="Google Sans" w:hAnsi="Google Sans" w:cs="Google Sans"/>
          <w:color w:val="1F1F1F"/>
        </w:rPr>
        <w:t>12. Prior Authorization Denials</w:t>
      </w:r>
      <w:bookmarkEnd w:id="17"/>
    </w:p>
    <w:p w14:paraId="3CF35918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Denials issued because the provider failed to secure formal, written approval from the payer's utilization management team before delivering care.</w:t>
      </w:r>
    </w:p>
    <w:p w14:paraId="5EADD1F9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Lack of authorization is usually a hard denial that cannot be billed to the patient.</w:t>
      </w:r>
    </w:p>
    <w:p w14:paraId="4D5D18A5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While standard Medicare Part B does not require prior auth, Medicare Advantage plans are legally permitted to enforce strict prior authorization protocols.</w:t>
      </w:r>
    </w:p>
    <w:p w14:paraId="07874DF5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Treating the patient before the auth is officially listed as "Approved" (treating while it is still "Pending").</w:t>
      </w:r>
    </w:p>
    <w:p w14:paraId="6CC66593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Do not schedule the initial evaluation until the authorization is confirmed in the portal.</w:t>
      </w:r>
    </w:p>
    <w:p w14:paraId="1233B3BD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SLP clinic secures 10 visits for dysphagia therapy. They treat the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patient 12 times. Visits 11 and 12 </w:t>
      </w:r>
      <w:proofErr w:type="gramStart"/>
      <w:r>
        <w:rPr>
          <w:rFonts w:ascii="Google Sans" w:eastAsia="Google Sans" w:hAnsi="Google Sans" w:cs="Google Sans"/>
          <w:color w:val="1F1F1F"/>
        </w:rPr>
        <w:t>deny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permanently.</w:t>
      </w:r>
    </w:p>
    <w:p w14:paraId="64830C89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Insert the authorization number exactly into Box 23 of the CMS-1500 form.</w:t>
      </w:r>
    </w:p>
    <w:p w14:paraId="1284CA6D" w14:textId="77777777" w:rsidR="000C71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MLN Matters on Medicare Advantage UM Rules</w:t>
      </w:r>
    </w:p>
    <w:p w14:paraId="0B56653C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8" w:name="_Toc234376819"/>
      <w:r>
        <w:rPr>
          <w:rFonts w:ascii="Google Sans" w:eastAsia="Google Sans" w:hAnsi="Google Sans" w:cs="Google Sans"/>
          <w:color w:val="1F1F1F"/>
        </w:rPr>
        <w:t>13. Timely Filing Limits</w:t>
      </w:r>
      <w:bookmarkEnd w:id="18"/>
    </w:p>
    <w:p w14:paraId="0C7653AA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strict contractual deadline by which a claim must be received by the payer.</w:t>
      </w:r>
    </w:p>
    <w:p w14:paraId="32746252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Missing this deadline results in an un-appealable financial loss.</w:t>
      </w:r>
    </w:p>
    <w:p w14:paraId="35ECBB28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Medicare Part B claims must be filed within one calendar year of the exact date of service.</w:t>
      </w:r>
    </w:p>
    <w:p w14:paraId="55D4BF6D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Assuming commercial payers have a 1-year limit. Many (e.g., UHC) enforce 90-day limits.</w:t>
      </w:r>
    </w:p>
    <w:p w14:paraId="5DC0A6E4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Run weekly "Unbilled Encounters" reports to catch lingering claims.</w:t>
      </w:r>
    </w:p>
    <w:p w14:paraId="42CF610E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claim from January 1st is submitted in May to a commercial payer with a 90-day filing limit. It denies instantly.</w:t>
      </w:r>
    </w:p>
    <w:p w14:paraId="28CB22F7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Always save the clearinghouse EDI 999 acceptance report. It is your only legal proof that you submitted the claim on time.</w:t>
      </w:r>
    </w:p>
    <w:p w14:paraId="14091F25" w14:textId="77777777" w:rsidR="000C71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Claims Processing Manual, Chapter 1, Section 70</w:t>
      </w:r>
    </w:p>
    <w:p w14:paraId="3CFC97DF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19" w:name="_Toc234376820"/>
      <w:r>
        <w:rPr>
          <w:rFonts w:ascii="Google Sans" w:eastAsia="Google Sans" w:hAnsi="Google Sans" w:cs="Google Sans"/>
          <w:color w:val="1F1F1F"/>
        </w:rPr>
        <w:t>14. Common Medicare Denial Scenarios</w:t>
      </w:r>
      <w:bookmarkEnd w:id="19"/>
    </w:p>
    <w:p w14:paraId="415B2027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High-frequency automated edits specific to traditional Medicare therapy billing.</w:t>
      </w:r>
    </w:p>
    <w:p w14:paraId="5FED3F59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Medicare logic applies across millions of claims; learning the patterns prevents mass denials.</w:t>
      </w:r>
    </w:p>
    <w:p w14:paraId="2BA4289A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The KX Modifier is an attestation of medical necessity required when a beneficiary's therapy costs exceed the annual threshold.</w:t>
      </w:r>
    </w:p>
    <w:p w14:paraId="53B66BAB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Applying the KX modifier automatically to every claim from January 1st, negating its legal meaning as an exception indicator.</w:t>
      </w:r>
    </w:p>
    <w:p w14:paraId="184D6327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Software should automatically append the KX modifier </w:t>
      </w:r>
      <w:r>
        <w:rPr>
          <w:rFonts w:ascii="Google Sans" w:eastAsia="Google Sans" w:hAnsi="Google Sans" w:cs="Google Sans"/>
          <w:i/>
          <w:iCs/>
          <w:color w:val="1F1F1F"/>
        </w:rPr>
        <w:t>only</w:t>
      </w:r>
      <w:r>
        <w:rPr>
          <w:rFonts w:ascii="Google Sans" w:eastAsia="Google Sans" w:hAnsi="Google Sans" w:cs="Google Sans"/>
          <w:color w:val="1F1F1F"/>
        </w:rPr>
        <w:t xml:space="preserve"> when the cumulative dollar threshold is crossed.</w:t>
      </w:r>
    </w:p>
    <w:p w14:paraId="6BE19573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patient hits $2,300 in PT charges in October. The next claim </w:t>
      </w:r>
      <w:proofErr w:type="gramStart"/>
      <w:r>
        <w:rPr>
          <w:rFonts w:ascii="Google Sans" w:eastAsia="Google Sans" w:hAnsi="Google Sans" w:cs="Google Sans"/>
          <w:color w:val="1F1F1F"/>
        </w:rPr>
        <w:t>denies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(CARC 119) because the biller forgot the KX modifier. The biller adds KX and resubmits successfully.</w:t>
      </w:r>
    </w:p>
    <w:p w14:paraId="482F4527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PT and SLP thresholds are tracked completely separately by Medicare, but PT and OT share a threshold pool.</w:t>
      </w:r>
    </w:p>
    <w:p w14:paraId="587CC40E" w14:textId="77777777" w:rsidR="000C71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KX Modifier Fact Sheet</w:t>
      </w:r>
    </w:p>
    <w:p w14:paraId="457A3396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0" w:name="_Toc234376821"/>
      <w:r>
        <w:rPr>
          <w:rFonts w:ascii="Google Sans" w:eastAsia="Google Sans" w:hAnsi="Google Sans" w:cs="Google Sans"/>
          <w:color w:val="1F1F1F"/>
        </w:rPr>
        <w:t>15. Common Therapy Billing Denials (PT, OT, SLP)</w:t>
      </w:r>
      <w:bookmarkEnd w:id="20"/>
    </w:p>
    <w:p w14:paraId="7C19EDE9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Clinical discipline-specific coding overlaps that frequently trigger denials.</w:t>
      </w:r>
    </w:p>
    <w:p w14:paraId="09C8FD7B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Each discipline has specific CPT code vulnerabilities under NCCI guidelines.</w:t>
      </w:r>
    </w:p>
    <w:p w14:paraId="7EB118A5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Clinicians must clearly document distinct time blocks when </w:t>
      </w:r>
      <w:r>
        <w:rPr>
          <w:rFonts w:ascii="Google Sans" w:eastAsia="Google Sans" w:hAnsi="Google Sans" w:cs="Google Sans"/>
          <w:color w:val="1F1F1F"/>
        </w:rPr>
        <w:lastRenderedPageBreak/>
        <w:t>performing mutually exclusive interventions.</w:t>
      </w:r>
    </w:p>
    <w:p w14:paraId="6B0B5E49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 (PT):</w:t>
      </w:r>
      <w:r>
        <w:rPr>
          <w:rFonts w:ascii="Google Sans" w:eastAsia="Google Sans" w:hAnsi="Google Sans" w:cs="Google Sans"/>
          <w:color w:val="1F1F1F"/>
        </w:rPr>
        <w:t xml:space="preserve"> Billing Gait Training (97116) and Therapeutic Exercise (97110) without explicitly separating the timed minutes.</w:t>
      </w:r>
    </w:p>
    <w:p w14:paraId="2E2D0989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 (OT):</w:t>
      </w:r>
      <w:r>
        <w:rPr>
          <w:rFonts w:ascii="Google Sans" w:eastAsia="Google Sans" w:hAnsi="Google Sans" w:cs="Google Sans"/>
          <w:color w:val="1F1F1F"/>
        </w:rPr>
        <w:t xml:space="preserve"> Billing Self-Care (97535) and Therapeutic Activities (97530) together. Payers frequently bundle these.</w:t>
      </w:r>
    </w:p>
    <w:p w14:paraId="10D39FB8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 (SLP):</w:t>
      </w:r>
      <w:r>
        <w:rPr>
          <w:rFonts w:ascii="Google Sans" w:eastAsia="Google Sans" w:hAnsi="Google Sans" w:cs="Google Sans"/>
          <w:color w:val="1F1F1F"/>
        </w:rPr>
        <w:t xml:space="preserve"> Billing standard cognitive rehab codes for age-related dementia without linking to a specific acute neurological event (like a stroke).</w:t>
      </w:r>
    </w:p>
    <w:p w14:paraId="21A30C3E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Use precise language. For OT, use 97535 strictly for direct ADL training (e.g., putting on a shirt) and 97530 for functional mobility components (e.g., dynamic standing balance).</w:t>
      </w:r>
    </w:p>
    <w:p w14:paraId="07197B6C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physical therapist performs 15 minutes of manual massage to the knee, then 15 minutes of stair training. They must bill with Modifier 59 to prove these were distinct activities.</w:t>
      </w:r>
    </w:p>
    <w:p w14:paraId="77A089FD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SLPs should utilize standardized assessments (e.g., MOCA, WAB) to provide objective baseline data for cognitive interventions.</w:t>
      </w:r>
    </w:p>
    <w:p w14:paraId="64DAB21C" w14:textId="77777777" w:rsidR="000C71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APTA, AOTA, &amp; ASHA Joint Billing Compliance Guidelines</w:t>
      </w:r>
    </w:p>
    <w:p w14:paraId="34EFB81C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1" w:name="_Toc234376822"/>
      <w:r>
        <w:rPr>
          <w:rFonts w:ascii="Google Sans" w:eastAsia="Google Sans" w:hAnsi="Google Sans" w:cs="Google Sans"/>
          <w:color w:val="1F1F1F"/>
        </w:rPr>
        <w:t>16. CARC Codes (Claim Adjustment Reason Codes)</w:t>
      </w:r>
      <w:bookmarkEnd w:id="21"/>
    </w:p>
    <w:p w14:paraId="6B76DF23" w14:textId="77777777" w:rsidR="000C71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Standardized national codes used on an ERA to explain why a claim was adjusted or denied.</w:t>
      </w:r>
    </w:p>
    <w:p w14:paraId="4A5B412B" w14:textId="77777777" w:rsidR="000C71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They allow humans and AI to instantly diagnose a denial without deciphering custom payer jargon.</w:t>
      </w:r>
    </w:p>
    <w:p w14:paraId="29DFE76A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22" w:name="_Toc234376823"/>
      <w:r>
        <w:rPr>
          <w:rFonts w:ascii="Google Sans" w:eastAsia="Google Sans" w:hAnsi="Google Sans" w:cs="Google Sans"/>
          <w:color w:val="1F1F1F"/>
        </w:rPr>
        <w:t>Most Common Rehabilitation CARC Codes</w:t>
      </w:r>
      <w:bookmarkEnd w:id="22"/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C7142" w14:paraId="639CC9D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D8A5A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1650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Standard Description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E931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Therapy Context</w:t>
            </w:r>
          </w:p>
        </w:tc>
      </w:tr>
      <w:tr w:rsidR="000C7142" w14:paraId="75F0F57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9298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C199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Lacks information/submission error.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F342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Missing GP/GO/GN modifier.</w:t>
            </w:r>
          </w:p>
        </w:tc>
      </w:tr>
      <w:tr w:rsidR="000C7142" w14:paraId="23C9606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5B7A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2C72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deemed a 'medical necessity'.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EDBF7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Care determined to be maintenance/non-skilled.</w:t>
            </w:r>
          </w:p>
        </w:tc>
      </w:tr>
      <w:tr w:rsidR="000C7142" w14:paraId="3BEF45F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543A8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19338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Non-covered charge.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9A9A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Benefit exclusion (e.g., no adult speech therapy).</w:t>
            </w:r>
          </w:p>
        </w:tc>
      </w:tr>
      <w:tr w:rsidR="000C7142" w14:paraId="2DB213E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CC337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97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F9A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Included in payment for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another service.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C8D3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NCCI bundling edit (needs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Mod 59).</w:t>
            </w:r>
          </w:p>
        </w:tc>
      </w:tr>
      <w:tr w:rsidR="000C7142" w14:paraId="53E0D12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2631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119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C2A7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Benefit maximum reached.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82AD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KX modifier missing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/ auth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exhausted.</w:t>
            </w:r>
          </w:p>
        </w:tc>
      </w:tr>
      <w:tr w:rsidR="000C7142" w14:paraId="475CFEE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4847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29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B4F2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 limit for filing expired.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9722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Missed timely filing deadline.</w:t>
            </w:r>
          </w:p>
        </w:tc>
      </w:tr>
    </w:tbl>
    <w:p w14:paraId="55ACFC93" w14:textId="77777777" w:rsidR="000C71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Payer systems must map all internal denial logic to standard WPC X12 CARC codes on the </w:t>
      </w:r>
      <w:proofErr w:type="gramStart"/>
      <w:r>
        <w:rPr>
          <w:rFonts w:ascii="Google Sans" w:eastAsia="Google Sans" w:hAnsi="Google Sans" w:cs="Google Sans"/>
          <w:color w:val="1F1F1F"/>
        </w:rPr>
        <w:t>835 transaction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file.</w:t>
      </w:r>
    </w:p>
    <w:p w14:paraId="686286DD" w14:textId="77777777" w:rsidR="000C71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Trying to appeal </w:t>
      </w:r>
      <w:proofErr w:type="gramStart"/>
      <w:r>
        <w:rPr>
          <w:rFonts w:ascii="Google Sans" w:eastAsia="Google Sans" w:hAnsi="Google Sans" w:cs="Google Sans"/>
          <w:color w:val="1F1F1F"/>
        </w:rPr>
        <w:t>a CARC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16 (Missing info) instead of simply sending a corrected claim.</w:t>
      </w:r>
    </w:p>
    <w:p w14:paraId="26DCC8F8" w14:textId="77777777" w:rsidR="000C71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Train all billing staff to memorize the top 10 CARC codes.</w:t>
      </w:r>
    </w:p>
    <w:p w14:paraId="7F168F28" w14:textId="77777777" w:rsidR="000C71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System reads CARC 119 + Group Code CO. Action: Biller must write off the balance or request </w:t>
      </w:r>
      <w:proofErr w:type="gramStart"/>
      <w:r>
        <w:rPr>
          <w:rFonts w:ascii="Google Sans" w:eastAsia="Google Sans" w:hAnsi="Google Sans" w:cs="Google Sans"/>
          <w:color w:val="1F1F1F"/>
        </w:rPr>
        <w:t>a retroactive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authorization.</w:t>
      </w:r>
    </w:p>
    <w:p w14:paraId="1F7EF329" w14:textId="77777777" w:rsidR="000C71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Combine CARC codes with Group Codes (CO vs PR) to dictate next financial steps.</w:t>
      </w:r>
    </w:p>
    <w:p w14:paraId="644328A9" w14:textId="77777777" w:rsidR="000C71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Washington Publishing Company (WPC) X12 Code Lists</w:t>
      </w:r>
    </w:p>
    <w:p w14:paraId="7F7BC125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3" w:name="_Toc234376824"/>
      <w:r>
        <w:rPr>
          <w:rFonts w:ascii="Google Sans" w:eastAsia="Google Sans" w:hAnsi="Google Sans" w:cs="Google Sans"/>
          <w:color w:val="1F1F1F"/>
        </w:rPr>
        <w:t>17. RARC Codes (Remittance Advice Remark Codes)</w:t>
      </w:r>
      <w:bookmarkEnd w:id="23"/>
    </w:p>
    <w:p w14:paraId="49AD9BE8" w14:textId="77777777" w:rsidR="000C71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Supportive codes providing granular detail to accompany a CARC code.</w:t>
      </w:r>
    </w:p>
    <w:p w14:paraId="2442E9AD" w14:textId="77777777" w:rsidR="000C71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CARC gives the broad reason; RARC gives the exact missing element.</w:t>
      </w:r>
    </w:p>
    <w:p w14:paraId="360B55E2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24" w:name="_Toc234376825"/>
      <w:r>
        <w:rPr>
          <w:rFonts w:ascii="Google Sans" w:eastAsia="Google Sans" w:hAnsi="Google Sans" w:cs="Google Sans"/>
          <w:color w:val="1F1F1F"/>
        </w:rPr>
        <w:t>CARC vs RARC Relationship</w:t>
      </w:r>
      <w:bookmarkEnd w:id="24"/>
    </w:p>
    <w:tbl>
      <w:tblPr>
        <w:tblStyle w:val="a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C7142" w14:paraId="1D2BF8C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A963E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2ABE1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Example Code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8AB3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Meaning</w:t>
            </w:r>
          </w:p>
        </w:tc>
      </w:tr>
      <w:tr w:rsidR="000C7142" w14:paraId="2D794CC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2ACF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CARC (The 'What')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1BFE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CARC 16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B70F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claim is missing information.</w:t>
            </w:r>
          </w:p>
        </w:tc>
      </w:tr>
      <w:tr w:rsidR="000C7142" w14:paraId="6E4EEAB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27B9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RARC (The 'Exactly What')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BB31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RARC N225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2101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Specifically, the Plan of Care is missing.</w:t>
            </w:r>
          </w:p>
        </w:tc>
      </w:tr>
    </w:tbl>
    <w:p w14:paraId="648F2B18" w14:textId="77777777" w:rsidR="000C71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RARCs must be utilized to prevent providers from guessing what specific documentation the payer requires.</w:t>
      </w:r>
    </w:p>
    <w:p w14:paraId="637535F9" w14:textId="77777777" w:rsidR="000C71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Looking only at the CARC and ignoring the RARC, leading to the wrong correction being applied.</w:t>
      </w:r>
    </w:p>
    <w:p w14:paraId="22A46DC5" w14:textId="77777777" w:rsidR="000C71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Your RCM AI should scrape both codes simultaneously to formulate a </w:t>
      </w:r>
      <w:proofErr w:type="gramStart"/>
      <w:r>
        <w:rPr>
          <w:rFonts w:ascii="Google Sans" w:eastAsia="Google Sans" w:hAnsi="Google Sans" w:cs="Google Sans"/>
          <w:color w:val="1F1F1F"/>
        </w:rPr>
        <w:t>fix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pathway.</w:t>
      </w:r>
    </w:p>
    <w:p w14:paraId="1913F004" w14:textId="77777777" w:rsidR="000C71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CARC 16 + RARC MA130. MA130 means "Missing mandatory modifier." The biller knows instantly to add GP/GO/GN.</w:t>
      </w:r>
    </w:p>
    <w:p w14:paraId="2CEB8DF0" w14:textId="77777777" w:rsidR="000C71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Pay close attention to RARCs starting with "N" (Alerts) or "M" (Medicare-specific).</w:t>
      </w:r>
    </w:p>
    <w:p w14:paraId="63B10AC6" w14:textId="77777777" w:rsidR="000C71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Electronic Remittance Advice Reference Guide</w:t>
      </w:r>
    </w:p>
    <w:p w14:paraId="19F73EED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5" w:name="_Toc234376826"/>
      <w:r>
        <w:rPr>
          <w:rFonts w:ascii="Google Sans" w:eastAsia="Google Sans" w:hAnsi="Google Sans" w:cs="Google Sans"/>
          <w:color w:val="1F1F1F"/>
        </w:rPr>
        <w:t>18. Claim Appeals Process</w:t>
      </w:r>
      <w:bookmarkEnd w:id="25"/>
    </w:p>
    <w:p w14:paraId="3D35BA47" w14:textId="77777777" w:rsidR="000C714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formal legal and contractual process of requesting a payer to reverse a denial and issue payment.</w:t>
      </w:r>
    </w:p>
    <w:p w14:paraId="513807C4" w14:textId="77777777" w:rsidR="000C714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It is the only way to recover revenue from clinical necessity or policy interpretation denials.</w:t>
      </w:r>
    </w:p>
    <w:p w14:paraId="6D8EB91A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26" w:name="_Toc234376827"/>
      <w:r>
        <w:rPr>
          <w:rFonts w:ascii="Google Sans" w:eastAsia="Google Sans" w:hAnsi="Google Sans" w:cs="Google Sans"/>
          <w:color w:val="1F1F1F"/>
        </w:rPr>
        <w:t>Decision Table: What to do after receiving a denial</w:t>
      </w:r>
      <w:bookmarkEnd w:id="26"/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C7142" w14:paraId="49E7F4C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FFE8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5347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Analysis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AEA3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Next Action</w:t>
            </w:r>
          </w:p>
        </w:tc>
      </w:tr>
      <w:tr w:rsidR="000C7142" w14:paraId="621548D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75ED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Missing modifier (CARC 16)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E86C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Technical Error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5088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Submit Corrected Claim.</w:t>
            </w:r>
          </w:p>
        </w:tc>
      </w:tr>
      <w:tr w:rsidR="000C7142" w14:paraId="238AC15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8F8A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Deemed non-skilled (CARC 50)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7617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Clinical Error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2699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Build Appeal Packet.</w:t>
            </w:r>
          </w:p>
        </w:tc>
      </w:tr>
      <w:tr w:rsidR="000C7142" w14:paraId="1B24B58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90D5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Filed 180 days late (CARC 29)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276EF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Administrative Error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999F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Hard Write-Off.</w:t>
            </w:r>
          </w:p>
        </w:tc>
      </w:tr>
    </w:tbl>
    <w:p w14:paraId="6A55E917" w14:textId="77777777" w:rsidR="000C714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Providers have the right to a multi-level appeals process for all initial determinations.</w:t>
      </w:r>
    </w:p>
    <w:p w14:paraId="7CDC15C2" w14:textId="77777777" w:rsidR="000C714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Sending an appeal letter without the supporting medical records attached.</w:t>
      </w:r>
    </w:p>
    <w:p w14:paraId="223B9DBA" w14:textId="77777777" w:rsidR="000C714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Structure the appeal packet with a clear cover letter outlining the timeline of progress, followed by evaluation, plan of care, and daily notes.</w:t>
      </w:r>
    </w:p>
    <w:p w14:paraId="641EB1EC" w14:textId="77777777" w:rsidR="000C714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files an appeal for a medical necessity denial. They include the initial evaluation showing a high fall risk, and daily notes showing steady improvement in Berg Balance scores. The </w:t>
      </w:r>
      <w:proofErr w:type="gramStart"/>
      <w:r>
        <w:rPr>
          <w:rFonts w:ascii="Google Sans" w:eastAsia="Google Sans" w:hAnsi="Google Sans" w:cs="Google Sans"/>
          <w:color w:val="1F1F1F"/>
        </w:rPr>
        <w:t>payer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reverses the denial.</w:t>
      </w:r>
    </w:p>
    <w:p w14:paraId="089CA446" w14:textId="77777777" w:rsidR="000C714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Always send appeals via certified mail or a tracked digital portal to prove it was received before the deadline.</w:t>
      </w:r>
    </w:p>
    <w:p w14:paraId="7C56B65E" w14:textId="77777777" w:rsidR="000C714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Appeals &amp; Grievances Guidance</w:t>
      </w:r>
    </w:p>
    <w:p w14:paraId="259F230B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7" w:name="_Toc234376828"/>
      <w:r>
        <w:rPr>
          <w:rFonts w:ascii="Google Sans" w:eastAsia="Google Sans" w:hAnsi="Google Sans" w:cs="Google Sans"/>
          <w:color w:val="1F1F1F"/>
        </w:rPr>
        <w:t>19. Medicare Appeals Levels</w:t>
      </w:r>
      <w:bookmarkEnd w:id="27"/>
    </w:p>
    <w:p w14:paraId="6510303D" w14:textId="77777777" w:rsidR="000C714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5-stage federal process for disputing a Medicare Part B denial.</w:t>
      </w:r>
    </w:p>
    <w:p w14:paraId="39178CCC" w14:textId="77777777" w:rsidR="000C714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Providers must escalate through these levels sequentially; missing a </w:t>
      </w:r>
      <w:r>
        <w:rPr>
          <w:rFonts w:ascii="Google Sans" w:eastAsia="Google Sans" w:hAnsi="Google Sans" w:cs="Google Sans"/>
          <w:color w:val="1F1F1F"/>
        </w:rPr>
        <w:lastRenderedPageBreak/>
        <w:t>deadline resets the claim to a permanent denial.</w:t>
      </w:r>
    </w:p>
    <w:p w14:paraId="57813285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28" w:name="_Toc234376829"/>
      <w:r>
        <w:rPr>
          <w:rFonts w:ascii="Google Sans" w:eastAsia="Google Sans" w:hAnsi="Google Sans" w:cs="Google Sans"/>
          <w:color w:val="1F1F1F"/>
        </w:rPr>
        <w:t>Comparison Table: Medicare Appeal Levels</w:t>
      </w:r>
      <w:bookmarkEnd w:id="28"/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C7142" w14:paraId="08CD45B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BEBF1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Level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724F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Reviewing Body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0E15C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Provider Filing Deadline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2358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Minimum Dispute $</w:t>
            </w:r>
          </w:p>
        </w:tc>
      </w:tr>
      <w:tr w:rsidR="000C7142" w14:paraId="19E2E6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D2C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 Redetermination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BE154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MAC (e.g.,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Novitas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05212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120 Days from Notice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94E7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$0</w:t>
            </w:r>
          </w:p>
        </w:tc>
      </w:tr>
      <w:tr w:rsidR="000C7142" w14:paraId="1E48B75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623A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 Reconsideration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17E00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QIC (Independent)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BADC7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180 Days from Level 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674B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$0</w:t>
            </w:r>
          </w:p>
        </w:tc>
      </w:tr>
      <w:tr w:rsidR="000C7142" w14:paraId="64DB46B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E9883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 ALJ Hearing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DC8DC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Admin Law Judge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F6FA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60 Days from Level 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AF0F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Varies (~$180)</w:t>
            </w:r>
          </w:p>
        </w:tc>
      </w:tr>
      <w:tr w:rsidR="000C7142" w14:paraId="2E2426C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5A90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 Appeals Council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2991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Medicare Appeals Council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79A29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60 Days from Level 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20771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None</w:t>
            </w:r>
          </w:p>
        </w:tc>
      </w:tr>
      <w:tr w:rsidR="000C7142" w14:paraId="6B17B96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0B15B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 Federal Court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0BCB6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U.S. District Court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464FD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60 Days from Level 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313B5" w14:textId="77777777" w:rsidR="000C71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Varies (~$1,800)</w:t>
            </w:r>
          </w:p>
        </w:tc>
      </w:tr>
    </w:tbl>
    <w:p w14:paraId="08309C88" w14:textId="77777777" w:rsidR="000C71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Level 1 is a fresh review by a different MAC staffer. Level 2 is the first independent clinical review by a third party (QIC).</w:t>
      </w:r>
    </w:p>
    <w:p w14:paraId="4BF1C77A" w14:textId="77777777" w:rsidR="000C71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Giving up after Level 1. Many clinical denials are successfully overturned at the ALJ level (Level 3) where providers can verbally explain the clinical nuance.</w:t>
      </w:r>
    </w:p>
    <w:p w14:paraId="157E6465" w14:textId="77777777" w:rsidR="000C71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Track all deadlines actively in a shared legal calendar.</w:t>
      </w:r>
    </w:p>
    <w:p w14:paraId="2CDE3EB3" w14:textId="77777777" w:rsidR="000C71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loses Level 1 and 2 for an SLP cognitive therapy case. They request an ALJ hearing via phone, explain the patient's unique TBI complications directly to the judge, and win the appeal.</w:t>
      </w:r>
    </w:p>
    <w:p w14:paraId="651821DB" w14:textId="77777777" w:rsidR="000C71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You can aggregate multiple claims for the same patient or same denial reason to meet the monetary threshold for an ALJ hearing.</w:t>
      </w:r>
    </w:p>
    <w:p w14:paraId="69D7BDAD" w14:textId="77777777" w:rsidR="000C71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Social Security Act § 1869; MLN Booklet: Medicare Appeals</w:t>
      </w:r>
    </w:p>
    <w:p w14:paraId="14947E00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29" w:name="_Toc234376830"/>
      <w:r>
        <w:rPr>
          <w:rFonts w:ascii="Google Sans" w:eastAsia="Google Sans" w:hAnsi="Google Sans" w:cs="Google Sans"/>
          <w:color w:val="1F1F1F"/>
        </w:rPr>
        <w:t>20. Appeal Documentation</w:t>
      </w:r>
      <w:bookmarkEnd w:id="29"/>
    </w:p>
    <w:p w14:paraId="1FB28BE9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structured medical record packet required to prove clinical necessity.</w:t>
      </w:r>
    </w:p>
    <w:p w14:paraId="1FAE2F2E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A poorly organized packet will be quickly rejected by overworked insurance reviewers.</w:t>
      </w:r>
    </w:p>
    <w:p w14:paraId="7854C0C3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Documentation must independently support the services billed.</w:t>
      </w:r>
    </w:p>
    <w:p w14:paraId="6673FCDD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Dumping 50 pages of unorganized, double-sided EMR printouts into an envelope.</w:t>
      </w:r>
    </w:p>
    <w:p w14:paraId="0AB8863A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Use a standardized cover sheet. Highlight objective test scores (e.g., TUG test times, MOCA scores) directly on the printouts.</w:t>
      </w:r>
    </w:p>
    <w:p w14:paraId="64020DAD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successful packet contains: 1) Cover Letter, 2) Signed Plan of Care, 3) Initial Eval, 4) Relevant SOAP notes, 5) Discharge Summary.</w:t>
      </w:r>
    </w:p>
    <w:p w14:paraId="3DD37EF0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Explicitly quote the payer's own LCD policy in your cover letter to force them to adhere to their own rules.</w:t>
      </w:r>
    </w:p>
    <w:p w14:paraId="75B995E6" w14:textId="77777777" w:rsidR="000C714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Program Integrity Manual, Chapter 3.4</w:t>
      </w:r>
    </w:p>
    <w:p w14:paraId="6BB89B27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0" w:name="_Toc234376831"/>
      <w:r>
        <w:rPr>
          <w:rFonts w:ascii="Google Sans" w:eastAsia="Google Sans" w:hAnsi="Google Sans" w:cs="Google Sans"/>
          <w:color w:val="1F1F1F"/>
        </w:rPr>
        <w:t>21. Best Practices for Appeals</w:t>
      </w:r>
      <w:bookmarkEnd w:id="30"/>
    </w:p>
    <w:p w14:paraId="24251816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Operational strategies to maximize appeal win rates and minimize labor costs.</w:t>
      </w:r>
    </w:p>
    <w:p w14:paraId="3E19D3A4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Appealing claims </w:t>
      </w:r>
      <w:proofErr w:type="gramStart"/>
      <w:r>
        <w:rPr>
          <w:rFonts w:ascii="Google Sans" w:eastAsia="Google Sans" w:hAnsi="Google Sans" w:cs="Google Sans"/>
          <w:color w:val="1F1F1F"/>
        </w:rPr>
        <w:t>is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expensive; optimizing the process protects net margins.</w:t>
      </w:r>
    </w:p>
    <w:p w14:paraId="7FD917A3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Contractors expect clear, concise, and clinically relevant arguments.</w:t>
      </w:r>
    </w:p>
    <w:p w14:paraId="466CB8FB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Writing emotional or aggressive appeal letters complaining about payer fairness.</w:t>
      </w:r>
    </w:p>
    <w:p w14:paraId="54015D42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Use modular text templates for common denials (e.g., a "KX Modifier Missing" template vs. a "Medical Necessity" template).</w:t>
      </w:r>
    </w:p>
    <w:p w14:paraId="53639247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Instead of writing a new letter every time, the billing team uses a </w:t>
      </w:r>
      <w:proofErr w:type="spellStart"/>
      <w:r>
        <w:rPr>
          <w:rFonts w:ascii="Google Sans" w:eastAsia="Google Sans" w:hAnsi="Google Sans" w:cs="Google Sans"/>
          <w:color w:val="1F1F1F"/>
        </w:rPr>
        <w:t>Medexa</w:t>
      </w:r>
      <w:proofErr w:type="spellEnd"/>
      <w:r>
        <w:rPr>
          <w:rFonts w:ascii="Google Sans" w:eastAsia="Google Sans" w:hAnsi="Google Sans" w:cs="Google Sans"/>
          <w:color w:val="1F1F1F"/>
        </w:rPr>
        <w:t>-generated template that automatically pulls the patient's objective progress scores into a comparative table.</w:t>
      </w:r>
    </w:p>
    <w:p w14:paraId="2DEF9DD0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Maintain a centralized log tracking win/loss ratios by payer to determine if certain plans are acting in bad faith.</w:t>
      </w:r>
    </w:p>
    <w:p w14:paraId="5C85FD3E" w14:textId="77777777" w:rsidR="000C714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HFMA Revenue Cycle Core Standards</w:t>
      </w:r>
    </w:p>
    <w:p w14:paraId="1B5114B5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1" w:name="_Toc234376832"/>
      <w:r>
        <w:rPr>
          <w:rFonts w:ascii="Google Sans" w:eastAsia="Google Sans" w:hAnsi="Google Sans" w:cs="Google Sans"/>
          <w:color w:val="1F1F1F"/>
        </w:rPr>
        <w:t>22. Preventing Claim Denials</w:t>
      </w:r>
      <w:bookmarkEnd w:id="31"/>
    </w:p>
    <w:p w14:paraId="10942DC9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Front-end operational protocols designed to ensure claims are 100% clean before transmission.</w:t>
      </w:r>
    </w:p>
    <w:p w14:paraId="1FAD3D2E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Prevention costs pennies; appeals cost dollars.</w:t>
      </w:r>
    </w:p>
    <w:p w14:paraId="5410DA49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OIG recommends robust internal compliance monitoring to prevent improper billing.</w:t>
      </w:r>
    </w:p>
    <w:p w14:paraId="259314CA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Relying solely on the back-office biller to catch clinical and front-desk errors.</w:t>
      </w:r>
    </w:p>
    <w:p w14:paraId="16913CF0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Shift accountability left. The front desk must </w:t>
      </w:r>
      <w:proofErr w:type="gramStart"/>
      <w:r>
        <w:rPr>
          <w:rFonts w:ascii="Google Sans" w:eastAsia="Google Sans" w:hAnsi="Google Sans" w:cs="Google Sans"/>
          <w:color w:val="1F1F1F"/>
        </w:rPr>
        <w:t>own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eligibility. The therapist must own documentation.</w:t>
      </w:r>
    </w:p>
    <w:p w14:paraId="5CDB7577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Implementing an AI RCM tool that prevents the claim from generating if the primary ICD-10 code is a generic "M54.5" (Low back pain) instead of a </w:t>
      </w:r>
      <w:r>
        <w:rPr>
          <w:rFonts w:ascii="Google Sans" w:eastAsia="Google Sans" w:hAnsi="Google Sans" w:cs="Google Sans"/>
          <w:color w:val="1F1F1F"/>
        </w:rPr>
        <w:lastRenderedPageBreak/>
        <w:t>highly specific, laterality-driven code.</w:t>
      </w:r>
    </w:p>
    <w:p w14:paraId="6A362B7F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Run automated eligibility checks 3 days prior, 1 day prior, and on the date of service.</w:t>
      </w:r>
    </w:p>
    <w:p w14:paraId="3B2F9C1A" w14:textId="77777777" w:rsidR="000C714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HHS OIG Compliance Program Guidance</w:t>
      </w:r>
    </w:p>
    <w:p w14:paraId="2C8459AD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2" w:name="_Toc234376833"/>
      <w:r>
        <w:rPr>
          <w:rFonts w:ascii="Google Sans" w:eastAsia="Google Sans" w:hAnsi="Google Sans" w:cs="Google Sans"/>
          <w:color w:val="1F1F1F"/>
        </w:rPr>
        <w:t>23. Documentation Best Practices</w:t>
      </w:r>
      <w:bookmarkEnd w:id="32"/>
    </w:p>
    <w:p w14:paraId="6C711F95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Clinical charting habits that intrinsically defend against medical necessity audits.</w:t>
      </w:r>
    </w:p>
    <w:p w14:paraId="4AD579E2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If it isn't documented, it didn't happen. The chart is the only legal defense.</w:t>
      </w:r>
    </w:p>
    <w:p w14:paraId="7AB1BC86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Documentation must show that the patient's complexity </w:t>
      </w:r>
      <w:proofErr w:type="gramStart"/>
      <w:r>
        <w:rPr>
          <w:rFonts w:ascii="Google Sans" w:eastAsia="Google Sans" w:hAnsi="Google Sans" w:cs="Google Sans"/>
          <w:color w:val="1F1F1F"/>
        </w:rPr>
        <w:t>required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the expertise of a licensed professional.</w:t>
      </w:r>
    </w:p>
    <w:p w14:paraId="0F9A5053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Writing "Patient ambulated 50 feet. Tolerated well."</w:t>
      </w:r>
    </w:p>
    <w:p w14:paraId="2E084C81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Use the "Skill + Action + Result" framework. "Therapist provided tactile cues at the pelvis (Skill) during 50ft ambulation (Action) to prevent dynamic lateral loss of balance (Result)."</w:t>
      </w:r>
    </w:p>
    <w:p w14:paraId="0F6BCE3A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avoids all CARC 50 denials by instituting a policy that every daily note must contain at least one objective measurement (e.g., ROM degrees, pain scale, strength grade).</w:t>
      </w:r>
    </w:p>
    <w:p w14:paraId="35D346FC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Audit 10% of all therapy charts internally every quarter to catch bad habits before the MAC does.</w:t>
      </w:r>
    </w:p>
    <w:p w14:paraId="05570911" w14:textId="77777777" w:rsidR="000C714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Medicare Benefit Policy Manual, Ch. 15</w:t>
      </w:r>
    </w:p>
    <w:p w14:paraId="77038AA5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3" w:name="_Toc234376834"/>
      <w:r>
        <w:rPr>
          <w:rFonts w:ascii="Google Sans" w:eastAsia="Google Sans" w:hAnsi="Google Sans" w:cs="Google Sans"/>
          <w:color w:val="1F1F1F"/>
        </w:rPr>
        <w:t>24. Compliance Best Practices</w:t>
      </w:r>
      <w:bookmarkEnd w:id="33"/>
    </w:p>
    <w:p w14:paraId="5DEAC1FE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Systemic controls to adhere to federal laws, state regulations, and ethical billing guidelines.</w:t>
      </w:r>
    </w:p>
    <w:p w14:paraId="12211667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Non-compliance can lead to massive federal recoupments, RAC audits, or False Claims Act liabilities.</w:t>
      </w:r>
    </w:p>
    <w:p w14:paraId="1A651AD4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Providers are strictly liable for the accuracy of claims submitted under their NPI.</w:t>
      </w:r>
    </w:p>
    <w:p w14:paraId="33C2ED57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Allowing a physical therapy assistant (PTA) to treat a Medicare patient without the required direct supervision or modifier (CQ/CO).</w:t>
      </w:r>
    </w:p>
    <w:p w14:paraId="5817F088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Keep all provider credentials, NPIs, and state licenses meticulously updated in the clearinghouse portal.</w:t>
      </w:r>
    </w:p>
    <w:p w14:paraId="297367A7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 clinic uses the Medicare 8-Minute Rule rigorously, ensuring a therapist who provides 22 minutes of care only bills 1 unit, avoiding upcoding fraud.</w:t>
      </w:r>
    </w:p>
    <w:p w14:paraId="4B5C27C4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Never use </w:t>
      </w:r>
      <w:proofErr w:type="gramStart"/>
      <w:r>
        <w:rPr>
          <w:rFonts w:ascii="Google Sans" w:eastAsia="Google Sans" w:hAnsi="Google Sans" w:cs="Google Sans"/>
          <w:color w:val="1F1F1F"/>
        </w:rPr>
        <w:t>the Modifier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59 simply to bypass a denial; it must be clinically supported in the daily note as a distinct procedural service.</w:t>
      </w:r>
    </w:p>
    <w:p w14:paraId="296E6997" w14:textId="77777777" w:rsidR="000C714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HHS OIG Annual Work Plan Alerts</w:t>
      </w:r>
    </w:p>
    <w:p w14:paraId="0BD5821A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4" w:name="_Toc234376835"/>
      <w:r>
        <w:rPr>
          <w:rFonts w:ascii="Google Sans" w:eastAsia="Google Sans" w:hAnsi="Google Sans" w:cs="Google Sans"/>
          <w:color w:val="1F1F1F"/>
        </w:rPr>
        <w:t>25. Claim Lifecycle</w:t>
      </w:r>
      <w:bookmarkEnd w:id="34"/>
    </w:p>
    <w:p w14:paraId="18ECD46C" w14:textId="77777777" w:rsidR="000C714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chronological flow of data from patient intake to final financial resolution.</w:t>
      </w:r>
    </w:p>
    <w:p w14:paraId="509DF6D2" w14:textId="77777777" w:rsidR="000C714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Why it matters:</w:t>
      </w:r>
      <w:r>
        <w:rPr>
          <w:rFonts w:ascii="Google Sans" w:eastAsia="Google Sans" w:hAnsi="Google Sans" w:cs="Google Sans"/>
          <w:color w:val="1F1F1F"/>
        </w:rPr>
        <w:t xml:space="preserve"> Understanding the flow allows AI copilots to intervene at the exact right node.</w:t>
      </w:r>
    </w:p>
    <w:p w14:paraId="5712A9FC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35" w:name="_Toc234376836"/>
      <w:r>
        <w:rPr>
          <w:rFonts w:ascii="Google Sans" w:eastAsia="Google Sans" w:hAnsi="Google Sans" w:cs="Google Sans"/>
          <w:color w:val="1F1F1F"/>
        </w:rPr>
        <w:t>Text Flowchart: The Claim Lifecycle</w:t>
      </w:r>
      <w:bookmarkEnd w:id="35"/>
    </w:p>
    <w:p w14:paraId="020FFE45" w14:textId="77777777" w:rsidR="000C7142" w:rsidRDefault="000C71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A9A48C0" w14:textId="77777777" w:rsidR="000C7142" w:rsidRDefault="000C7142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BE5C39F" w14:textId="77777777" w:rsidR="000C7142" w:rsidRDefault="000C71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488E7B62" w14:textId="77777777" w:rsidR="000C714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Plaintext</w:t>
      </w:r>
    </w:p>
    <w:p w14:paraId="1D204987" w14:textId="77777777" w:rsidR="000C714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shd w:val="clear" w:color="auto" w:fill="141414"/>
        </w:rPr>
        <w:t>Patient Registration (Eligibility check)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↓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Therapy Encounter (Documentation &amp; POC)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↓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Coding &amp; Review (Apply CPTs, ICD-10s, Modifiers)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↓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Claim Submission (EDI 837 to Clearinghouse)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↓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Payer Adjudication (Algorithmic edits applied)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↓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Outcome via ERA (EDI 835)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├──&gt; IF APPROVED: Payment posted to ledger.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└──&gt; IF DENIED: Review CARC/RARC codes.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├──&gt; Technical? Correct and resubmit.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└──&gt; Clinical? File formal appeal.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   ↓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Final Resolution (Paid or Written Off)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7AB17B3C" w14:textId="77777777" w:rsidR="000C714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EDI formats (837 for claims, 835 for remittances) strictly dictate how data moves through this lifecycle.</w:t>
      </w:r>
    </w:p>
    <w:p w14:paraId="05D199AC" w14:textId="77777777" w:rsidR="000C714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  <w:r>
        <w:rPr>
          <w:rFonts w:ascii="Google Sans" w:eastAsia="Google Sans" w:hAnsi="Google Sans" w:cs="Google Sans"/>
          <w:color w:val="1F1F1F"/>
        </w:rPr>
        <w:t xml:space="preserve"> Letting claims sit in "Submitted" status without verifying EDI 999 (acceptance) or 277 (status) reports.</w:t>
      </w:r>
    </w:p>
    <w:p w14:paraId="55010C1D" w14:textId="77777777" w:rsidR="000C714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Best Practices:</w:t>
      </w:r>
      <w:r>
        <w:rPr>
          <w:rFonts w:ascii="Google Sans" w:eastAsia="Google Sans" w:hAnsi="Google Sans" w:cs="Google Sans"/>
          <w:color w:val="1F1F1F"/>
        </w:rPr>
        <w:t xml:space="preserve"> Automate claim status pings </w:t>
      </w:r>
      <w:proofErr w:type="gramStart"/>
      <w:r>
        <w:rPr>
          <w:rFonts w:ascii="Google Sans" w:eastAsia="Google Sans" w:hAnsi="Google Sans" w:cs="Google Sans"/>
          <w:color w:val="1F1F1F"/>
        </w:rPr>
        <w:t>at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day 14 and day 28 post-submission.</w:t>
      </w:r>
    </w:p>
    <w:p w14:paraId="243A89F5" w14:textId="77777777" w:rsidR="000C714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Examples:</w:t>
      </w:r>
      <w:r>
        <w:rPr>
          <w:rFonts w:ascii="Google Sans" w:eastAsia="Google Sans" w:hAnsi="Google Sans" w:cs="Google Sans"/>
          <w:color w:val="1F1F1F"/>
        </w:rPr>
        <w:t xml:space="preserve"> An AI copilot flags a claim stuck in "Pending" </w:t>
      </w:r>
      <w:proofErr w:type="gramStart"/>
      <w:r>
        <w:rPr>
          <w:rFonts w:ascii="Google Sans" w:eastAsia="Google Sans" w:hAnsi="Google Sans" w:cs="Google Sans"/>
          <w:color w:val="1F1F1F"/>
        </w:rPr>
        <w:t>at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day 15, prompts the front desk to call the payer, and discovers they need a primary EOB to process it.</w:t>
      </w:r>
    </w:p>
    <w:p w14:paraId="74CB322D" w14:textId="77777777" w:rsidR="000C714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Measure your Days in Accounts Receivable (DAR). Anything over 40 days signals a lifecycle bottleneck.</w:t>
      </w:r>
    </w:p>
    <w:p w14:paraId="3250CEB3" w14:textId="77777777" w:rsidR="000C714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Healthcare Financial Management Association (HFMA) Standards</w:t>
      </w:r>
    </w:p>
    <w:p w14:paraId="611687A9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36" w:name="_Toc234376837"/>
      <w:r>
        <w:rPr>
          <w:rFonts w:ascii="Google Sans" w:eastAsia="Google Sans" w:hAnsi="Google Sans" w:cs="Google Sans"/>
          <w:color w:val="1F1F1F"/>
        </w:rPr>
        <w:t>26. Real-World Examples</w:t>
      </w:r>
      <w:bookmarkEnd w:id="36"/>
    </w:p>
    <w:p w14:paraId="385F480B" w14:textId="77777777" w:rsidR="000C7142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Applied scenarios demonstrating denial resolution in outpatient rehab.</w:t>
      </w:r>
    </w:p>
    <w:p w14:paraId="3A5BAC2E" w14:textId="77777777" w:rsidR="000C7142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Contextualizes abstract billing rules into practical RCM workflows.</w:t>
      </w:r>
    </w:p>
    <w:p w14:paraId="69E946E9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37" w:name="_Toc234376838"/>
      <w:r>
        <w:rPr>
          <w:rFonts w:ascii="Google Sans" w:eastAsia="Google Sans" w:hAnsi="Google Sans" w:cs="Google Sans"/>
          <w:color w:val="1F1F1F"/>
        </w:rPr>
        <w:t>Scenario A: Modifier Correction (Technical)</w:t>
      </w:r>
      <w:bookmarkEnd w:id="37"/>
    </w:p>
    <w:p w14:paraId="35524F8F" w14:textId="77777777" w:rsidR="000C7142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Error:</w:t>
      </w:r>
      <w:r>
        <w:rPr>
          <w:rFonts w:ascii="Google Sans" w:eastAsia="Google Sans" w:hAnsi="Google Sans" w:cs="Google Sans"/>
          <w:color w:val="1F1F1F"/>
        </w:rPr>
        <w:t xml:space="preserve"> Claim denied with CARC 97 (Included in another service). PT billed 97116 (Gait) and 97140 (Manual).</w:t>
      </w:r>
    </w:p>
    <w:p w14:paraId="31C2DE8B" w14:textId="77777777" w:rsidR="000C7142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Fix:</w:t>
      </w:r>
      <w:r>
        <w:rPr>
          <w:rFonts w:ascii="Google Sans" w:eastAsia="Google Sans" w:hAnsi="Google Sans" w:cs="Google Sans"/>
          <w:color w:val="1F1F1F"/>
        </w:rPr>
        <w:t xml:space="preserve"> Biller checks notes, confirms therapies were distinct, adds Modifier 59 to 97140, and submits a corrected claim.</w:t>
      </w:r>
    </w:p>
    <w:p w14:paraId="1BE039D0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38" w:name="_Toc234376839"/>
      <w:r>
        <w:rPr>
          <w:rFonts w:ascii="Google Sans" w:eastAsia="Google Sans" w:hAnsi="Google Sans" w:cs="Google Sans"/>
          <w:color w:val="1F1F1F"/>
        </w:rPr>
        <w:t>Scenario B: Medical Necessity (Clinical)</w:t>
      </w:r>
      <w:bookmarkEnd w:id="38"/>
    </w:p>
    <w:p w14:paraId="0416A6B3" w14:textId="77777777" w:rsidR="000C7142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Error:</w:t>
      </w:r>
      <w:r>
        <w:rPr>
          <w:rFonts w:ascii="Google Sans" w:eastAsia="Google Sans" w:hAnsi="Google Sans" w:cs="Google Sans"/>
          <w:color w:val="1F1F1F"/>
        </w:rPr>
        <w:t xml:space="preserve"> OT claim denied CARC 50. Notes were repetitive ("patient did pegboard").</w:t>
      </w:r>
    </w:p>
    <w:p w14:paraId="7405D51A" w14:textId="77777777" w:rsidR="000C7142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Fix:</w:t>
      </w:r>
      <w:r>
        <w:rPr>
          <w:rFonts w:ascii="Google Sans" w:eastAsia="Google Sans" w:hAnsi="Google Sans" w:cs="Google Sans"/>
          <w:color w:val="1F1F1F"/>
        </w:rPr>
        <w:t xml:space="preserve"> Therapist writes appeal explaining the pegboard was used to rebuild fine motor pinch strength required for self-catheterization post-stroke. Payer overturns denial.</w:t>
      </w:r>
    </w:p>
    <w:p w14:paraId="1ECD2981" w14:textId="77777777" w:rsidR="000C714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bookmarkStart w:id="39" w:name="_Toc234376840"/>
      <w:r>
        <w:rPr>
          <w:rFonts w:ascii="Google Sans" w:eastAsia="Google Sans" w:hAnsi="Google Sans" w:cs="Google Sans"/>
          <w:color w:val="1F1F1F"/>
        </w:rPr>
        <w:t>Scenario C: Timely Filing (Administrative)</w:t>
      </w:r>
      <w:bookmarkEnd w:id="39"/>
    </w:p>
    <w:p w14:paraId="3FBDF26F" w14:textId="77777777" w:rsidR="000C714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Error:</w:t>
      </w:r>
      <w:r>
        <w:rPr>
          <w:rFonts w:ascii="Google Sans" w:eastAsia="Google Sans" w:hAnsi="Google Sans" w:cs="Google Sans"/>
          <w:color w:val="1F1F1F"/>
        </w:rPr>
        <w:t xml:space="preserve"> Claim billed 185 days post-service to UHC (90-day limit). Denied CARC 29.</w:t>
      </w:r>
    </w:p>
    <w:p w14:paraId="750A6B7B" w14:textId="77777777" w:rsidR="000C714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Fix:</w:t>
      </w:r>
      <w:r>
        <w:rPr>
          <w:rFonts w:ascii="Google Sans" w:eastAsia="Google Sans" w:hAnsi="Google Sans" w:cs="Google Sans"/>
          <w:color w:val="1F1F1F"/>
        </w:rPr>
        <w:t xml:space="preserve"> Un-appealable due to internal provider error. Balance written off.</w:t>
      </w:r>
    </w:p>
    <w:p w14:paraId="2BCA41C0" w14:textId="77777777" w:rsidR="000C714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CERT (Comprehensive Error Rate Testing) reports show technical omissions account for </w:t>
      </w:r>
      <w:proofErr w:type="gramStart"/>
      <w:r>
        <w:rPr>
          <w:rFonts w:ascii="Google Sans" w:eastAsia="Google Sans" w:hAnsi="Google Sans" w:cs="Google Sans"/>
          <w:color w:val="1F1F1F"/>
        </w:rPr>
        <w:t>the majority of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initial denials.</w:t>
      </w:r>
    </w:p>
    <w:p w14:paraId="0949242B" w14:textId="77777777" w:rsidR="000C714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Billing Tips:</w:t>
      </w:r>
      <w:r>
        <w:rPr>
          <w:rFonts w:ascii="Google Sans" w:eastAsia="Google Sans" w:hAnsi="Google Sans" w:cs="Google Sans"/>
          <w:color w:val="1F1F1F"/>
        </w:rPr>
        <w:t xml:space="preserve"> Build an internal "knowledge base" of these scenarios so new billers can learn from </w:t>
      </w:r>
      <w:proofErr w:type="spellStart"/>
      <w:r>
        <w:rPr>
          <w:rFonts w:ascii="Google Sans" w:eastAsia="Google Sans" w:hAnsi="Google Sans" w:cs="Google Sans"/>
          <w:color w:val="1F1F1F"/>
        </w:rPr>
        <w:t>past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resolutions.</w:t>
      </w:r>
    </w:p>
    <w:p w14:paraId="55FD28B0" w14:textId="77777777" w:rsidR="000C714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CERT Program Error Reports</w:t>
      </w:r>
    </w:p>
    <w:p w14:paraId="6C0EC213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40" w:name="_Toc234376841"/>
      <w:r>
        <w:rPr>
          <w:rFonts w:ascii="Google Sans" w:eastAsia="Google Sans" w:hAnsi="Google Sans" w:cs="Google Sans"/>
          <w:color w:val="1F1F1F"/>
        </w:rPr>
        <w:t>27. Frequently Asked Questions</w:t>
      </w:r>
      <w:bookmarkEnd w:id="40"/>
    </w:p>
    <w:p w14:paraId="0D384073" w14:textId="77777777" w:rsidR="000C714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Q1: Can we bill the patient if the insurance denies the claim?</w:t>
      </w:r>
    </w:p>
    <w:p w14:paraId="420D44D5" w14:textId="77777777" w:rsidR="000C7142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Answer:</w:t>
      </w:r>
      <w:r>
        <w:rPr>
          <w:rFonts w:ascii="Google Sans" w:eastAsia="Google Sans" w:hAnsi="Google Sans" w:cs="Google Sans"/>
          <w:color w:val="1F1F1F"/>
        </w:rPr>
        <w:t xml:space="preserve"> Only if the denial CARC is tied to a Patient Responsibility (PR) group code, or if a valid ABN was signed. If it's a Contractual Obligation (CO), you cannot bill the patient.</w:t>
      </w:r>
    </w:p>
    <w:p w14:paraId="12167D0B" w14:textId="77777777" w:rsidR="000C714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Q2: Does the 8-Minute rule apply to SLP codes?</w:t>
      </w:r>
    </w:p>
    <w:p w14:paraId="03C7C46D" w14:textId="77777777" w:rsidR="000C7142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Answer:</w:t>
      </w:r>
      <w:r>
        <w:rPr>
          <w:rFonts w:ascii="Google Sans" w:eastAsia="Google Sans" w:hAnsi="Google Sans" w:cs="Google Sans"/>
          <w:color w:val="1F1F1F"/>
        </w:rPr>
        <w:t xml:space="preserve"> Generally, no. Most core SLP codes (like 92507 for speech therapy) are </w:t>
      </w:r>
      <w:r>
        <w:rPr>
          <w:rFonts w:ascii="Google Sans" w:eastAsia="Google Sans" w:hAnsi="Google Sans" w:cs="Google Sans"/>
          <w:i/>
          <w:iCs/>
          <w:color w:val="1F1F1F"/>
        </w:rPr>
        <w:t>untimed, service-based codes</w:t>
      </w:r>
      <w:r>
        <w:rPr>
          <w:rFonts w:ascii="Google Sans" w:eastAsia="Google Sans" w:hAnsi="Google Sans" w:cs="Google Sans"/>
          <w:color w:val="1F1F1F"/>
        </w:rPr>
        <w:t>, billed as 1 unit per day regardless of session length.</w:t>
      </w:r>
    </w:p>
    <w:p w14:paraId="21C72A45" w14:textId="77777777" w:rsidR="000C714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Q3: What's the difference between a Corrected Claim and an Appeal?</w:t>
      </w:r>
    </w:p>
    <w:p w14:paraId="70AD5408" w14:textId="77777777" w:rsidR="000C7142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Answer:</w:t>
      </w:r>
      <w:r>
        <w:rPr>
          <w:rFonts w:ascii="Google Sans" w:eastAsia="Google Sans" w:hAnsi="Google Sans" w:cs="Google Sans"/>
          <w:color w:val="1F1F1F"/>
        </w:rPr>
        <w:t xml:space="preserve"> A corrected claim fixes typographical, coding, or modifier errors and is processed by the payer's algorithm. An appeal challenges a clinical decision and requires human review of medical records.</w:t>
      </w:r>
    </w:p>
    <w:p w14:paraId="447DB53C" w14:textId="77777777" w:rsidR="000C714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ABNs must be executed </w:t>
      </w:r>
      <w:r>
        <w:rPr>
          <w:rFonts w:ascii="Google Sans" w:eastAsia="Google Sans" w:hAnsi="Google Sans" w:cs="Google Sans"/>
          <w:i/>
          <w:iCs/>
          <w:color w:val="1F1F1F"/>
        </w:rPr>
        <w:t>before</w:t>
      </w:r>
      <w:r>
        <w:rPr>
          <w:rFonts w:ascii="Google Sans" w:eastAsia="Google Sans" w:hAnsi="Google Sans" w:cs="Google Sans"/>
          <w:color w:val="1F1F1F"/>
        </w:rPr>
        <w:t xml:space="preserve"> care is delivered if the provider anticipates a medical necessity denial.</w:t>
      </w:r>
    </w:p>
    <w:p w14:paraId="259EA23B" w14:textId="77777777" w:rsidR="000C714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CMS Advance Beneficiary Notice (ABN) Guidelines</w:t>
      </w:r>
    </w:p>
    <w:p w14:paraId="51C26655" w14:textId="77777777" w:rsidR="000C714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41" w:name="_Toc234376842"/>
      <w:r>
        <w:rPr>
          <w:rFonts w:ascii="Google Sans" w:eastAsia="Google Sans" w:hAnsi="Google Sans" w:cs="Google Sans"/>
          <w:color w:val="1F1F1F"/>
        </w:rPr>
        <w:t>28. Key Takeaways</w:t>
      </w:r>
      <w:bookmarkEnd w:id="41"/>
    </w:p>
    <w:p w14:paraId="29DCADDC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fundamental operating rules for the </w:t>
      </w:r>
      <w:proofErr w:type="spellStart"/>
      <w:r>
        <w:rPr>
          <w:rFonts w:ascii="Google Sans" w:eastAsia="Google Sans" w:hAnsi="Google Sans" w:cs="Google Sans"/>
          <w:color w:val="1F1F1F"/>
        </w:rPr>
        <w:t>Medexa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 Copilot.</w:t>
      </w:r>
    </w:p>
    <w:p w14:paraId="1206A8BE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 it matters:</w:t>
      </w:r>
      <w:r>
        <w:rPr>
          <w:rFonts w:ascii="Google Sans" w:eastAsia="Google Sans" w:hAnsi="Google Sans" w:cs="Google Sans"/>
          <w:color w:val="1F1F1F"/>
        </w:rPr>
        <w:t xml:space="preserve"> Summarizes the core logic the AI must apply when encountering a </w:t>
      </w:r>
      <w:r>
        <w:rPr>
          <w:rFonts w:ascii="Google Sans" w:eastAsia="Google Sans" w:hAnsi="Google Sans" w:cs="Google Sans"/>
          <w:color w:val="1F1F1F"/>
        </w:rPr>
        <w:lastRenderedPageBreak/>
        <w:t>denied EDI 835 transaction.</w:t>
      </w:r>
    </w:p>
    <w:p w14:paraId="24843001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1. Distinguish Adjudication:</w:t>
      </w:r>
      <w:r>
        <w:rPr>
          <w:rFonts w:ascii="Google Sans" w:eastAsia="Google Sans" w:hAnsi="Google Sans" w:cs="Google Sans"/>
          <w:color w:val="1F1F1F"/>
        </w:rPr>
        <w:t xml:space="preserve"> Rejections require data fixes; Denials require corrected claims or clinical appeals.</w:t>
      </w:r>
    </w:p>
    <w:p w14:paraId="7E326BEE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2. Modifiers are Gatekeepers:</w:t>
      </w:r>
      <w:r>
        <w:rPr>
          <w:rFonts w:ascii="Google Sans" w:eastAsia="Google Sans" w:hAnsi="Google Sans" w:cs="Google Sans"/>
          <w:color w:val="1F1F1F"/>
        </w:rPr>
        <w:t xml:space="preserve"> Therapy claims fail instantly without GP/GO/GN discipline modifiers and KX/59 compliance modifiers.</w:t>
      </w:r>
    </w:p>
    <w:p w14:paraId="6F6373EE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3. Documentation is Defense:</w:t>
      </w:r>
      <w:r>
        <w:rPr>
          <w:rFonts w:ascii="Google Sans" w:eastAsia="Google Sans" w:hAnsi="Google Sans" w:cs="Google Sans"/>
          <w:color w:val="1F1F1F"/>
        </w:rPr>
        <w:t xml:space="preserve"> Medical necessity appeals are won entirely by objective, skilled terminology in the SOAP note.</w:t>
      </w:r>
    </w:p>
    <w:p w14:paraId="55637602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4. Watch the Clock:</w:t>
      </w:r>
      <w:r>
        <w:rPr>
          <w:rFonts w:ascii="Google Sans" w:eastAsia="Google Sans" w:hAnsi="Google Sans" w:cs="Google Sans"/>
          <w:color w:val="1F1F1F"/>
        </w:rPr>
        <w:t xml:space="preserve"> Filing deadlines and appeal windows are absolute. Track them algorithmically.</w:t>
      </w:r>
    </w:p>
    <w:p w14:paraId="63B31100" w14:textId="77777777" w:rsidR="000C7142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CMS Guidance:</w:t>
      </w:r>
      <w:r>
        <w:rPr>
          <w:rFonts w:ascii="Google Sans" w:eastAsia="Google Sans" w:hAnsi="Google Sans" w:cs="Google Sans"/>
          <w:color w:val="1F1F1F"/>
        </w:rPr>
        <w:t xml:space="preserve"> Compliance and proactive auditing are the best defenses against revenue leakage.</w:t>
      </w:r>
    </w:p>
    <w:p w14:paraId="67A02AE1" w14:textId="77777777" w:rsidR="000C7142" w:rsidRPr="00B16FFC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Official Source: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Medexa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RCM AI Knowledge Base Framework</w:t>
      </w:r>
    </w:p>
    <w:p w14:paraId="31DB29E8" w14:textId="77777777" w:rsidR="00B16FFC" w:rsidRDefault="00B16FFC" w:rsidP="00B16FFC">
      <w:pPr>
        <w:pStyle w:val="query-text-line"/>
        <w:numPr>
          <w:ilvl w:val="0"/>
          <w:numId w:val="30"/>
        </w:numPr>
        <w:shd w:val="clear" w:color="auto" w:fill="F2F0F0"/>
        <w:spacing w:before="0" w:beforeAutospacing="0" w:after="0" w:afterAutospacing="0"/>
        <w:rPr>
          <w:rFonts w:ascii="Google Sans" w:hAnsi="Google Sans"/>
          <w:color w:val="1F1F1F"/>
          <w:sz w:val="26"/>
          <w:szCs w:val="26"/>
        </w:rPr>
      </w:pPr>
      <w:r>
        <w:rPr>
          <w:rFonts w:ascii="Google Sans" w:hAnsi="Google Sans"/>
          <w:color w:val="1F1F1F"/>
          <w:sz w:val="26"/>
          <w:szCs w:val="26"/>
        </w:rPr>
        <w:t>Official References:</w:t>
      </w:r>
    </w:p>
    <w:p w14:paraId="3FE36719" w14:textId="77777777" w:rsidR="00B16FFC" w:rsidRDefault="00B16FFC" w:rsidP="00B16FFC">
      <w:pPr>
        <w:pStyle w:val="query-text-line"/>
        <w:shd w:val="clear" w:color="auto" w:fill="F2F0F0"/>
        <w:spacing w:before="0" w:beforeAutospacing="0" w:after="0" w:afterAutospacing="0"/>
        <w:ind w:left="230"/>
        <w:rPr>
          <w:rFonts w:ascii="Google Sans" w:hAnsi="Google Sans"/>
          <w:color w:val="1F1F1F"/>
          <w:sz w:val="26"/>
          <w:szCs w:val="26"/>
        </w:rPr>
      </w:pPr>
      <w:r>
        <w:rPr>
          <w:rFonts w:ascii="Google Sans" w:hAnsi="Google Sans"/>
          <w:color w:val="1F1F1F"/>
          <w:sz w:val="26"/>
          <w:szCs w:val="26"/>
        </w:rPr>
        <w:t>- https://www.cms.gov/</w:t>
      </w:r>
    </w:p>
    <w:p w14:paraId="11F6FE4E" w14:textId="77777777" w:rsidR="00B16FFC" w:rsidRDefault="00B16FFC" w:rsidP="00B16FFC">
      <w:pPr>
        <w:pStyle w:val="query-text-line"/>
        <w:shd w:val="clear" w:color="auto" w:fill="F2F0F0"/>
        <w:spacing w:before="0" w:beforeAutospacing="0" w:after="0" w:afterAutospacing="0"/>
        <w:ind w:left="230"/>
        <w:rPr>
          <w:rFonts w:ascii="Google Sans" w:hAnsi="Google Sans"/>
          <w:color w:val="1F1F1F"/>
          <w:sz w:val="26"/>
          <w:szCs w:val="26"/>
        </w:rPr>
      </w:pPr>
      <w:r>
        <w:rPr>
          <w:rFonts w:ascii="Google Sans" w:hAnsi="Google Sans"/>
          <w:color w:val="1F1F1F"/>
          <w:sz w:val="26"/>
          <w:szCs w:val="26"/>
        </w:rPr>
        <w:t>- https://www.cms.gov/regulations-and-guidance/guidance/manuals</w:t>
      </w:r>
    </w:p>
    <w:p w14:paraId="4B86B01B" w14:textId="77777777" w:rsidR="00B16FFC" w:rsidRDefault="00B16FFC" w:rsidP="00B16FFC">
      <w:pPr>
        <w:pStyle w:val="query-text-line"/>
        <w:shd w:val="clear" w:color="auto" w:fill="F2F0F0"/>
        <w:spacing w:before="0" w:beforeAutospacing="0" w:after="0" w:afterAutospacing="0"/>
        <w:ind w:left="230"/>
        <w:rPr>
          <w:rFonts w:ascii="Google Sans" w:hAnsi="Google Sans"/>
          <w:color w:val="1F1F1F"/>
          <w:sz w:val="26"/>
          <w:szCs w:val="26"/>
        </w:rPr>
      </w:pPr>
      <w:r>
        <w:rPr>
          <w:rFonts w:ascii="Google Sans" w:hAnsi="Google Sans"/>
          <w:color w:val="1F1F1F"/>
          <w:sz w:val="26"/>
          <w:szCs w:val="26"/>
        </w:rPr>
        <w:t>- https://www.cms.gov/training-education/medicare-learning-network</w:t>
      </w:r>
    </w:p>
    <w:p w14:paraId="091ED760" w14:textId="77777777" w:rsidR="00B16FFC" w:rsidRDefault="00B16FFC" w:rsidP="00B16FFC">
      <w:pPr>
        <w:pStyle w:val="query-text-line"/>
        <w:shd w:val="clear" w:color="auto" w:fill="F2F0F0"/>
        <w:spacing w:before="0" w:beforeAutospacing="0" w:after="0" w:afterAutospacing="0"/>
        <w:ind w:left="230"/>
        <w:rPr>
          <w:rFonts w:ascii="Google Sans" w:hAnsi="Google Sans"/>
          <w:color w:val="1F1F1F"/>
          <w:sz w:val="26"/>
          <w:szCs w:val="26"/>
        </w:rPr>
      </w:pPr>
      <w:r>
        <w:rPr>
          <w:rFonts w:ascii="Google Sans" w:hAnsi="Google Sans"/>
          <w:color w:val="1F1F1F"/>
          <w:sz w:val="26"/>
          <w:szCs w:val="26"/>
        </w:rPr>
        <w:t>- https://www.cms.gov/medicare/coding-billing</w:t>
      </w:r>
    </w:p>
    <w:p w14:paraId="7F393000" w14:textId="77777777" w:rsidR="00B16FFC" w:rsidRDefault="00B16FFC" w:rsidP="00B16FFC">
      <w:pPr>
        <w:pStyle w:val="query-text-line"/>
        <w:shd w:val="clear" w:color="auto" w:fill="F2F0F0"/>
        <w:spacing w:before="0" w:beforeAutospacing="0" w:after="0" w:afterAutospacing="0"/>
        <w:ind w:left="230"/>
        <w:rPr>
          <w:rFonts w:ascii="Google Sans" w:hAnsi="Google Sans"/>
          <w:color w:val="1F1F1F"/>
          <w:sz w:val="26"/>
          <w:szCs w:val="26"/>
        </w:rPr>
      </w:pPr>
      <w:r>
        <w:rPr>
          <w:rFonts w:ascii="Google Sans" w:hAnsi="Google Sans"/>
          <w:color w:val="1F1F1F"/>
          <w:sz w:val="26"/>
          <w:szCs w:val="26"/>
        </w:rPr>
        <w:t>- https://www.cms.gov/medicare/appeals-and-grievances</w:t>
      </w:r>
    </w:p>
    <w:p w14:paraId="676C13BD" w14:textId="77777777" w:rsidR="00B16FFC" w:rsidRDefault="00B16FFC" w:rsidP="00B16FF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sectPr w:rsidR="00B16F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7ED4CE5-D1C7-470C-8795-21A420A732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118A797-4C7D-4BC1-B43E-F88E355326FC}"/>
  </w:font>
  <w:font w:name="Google Sans">
    <w:charset w:val="00"/>
    <w:family w:val="auto"/>
    <w:pitch w:val="default"/>
    <w:embedRegular r:id="rId3" w:fontKey="{48995958-9C50-45F5-9B6A-C5DAE60E8863}"/>
    <w:embedBold r:id="rId4" w:fontKey="{86E663F0-7DF0-447B-8B3C-C42A3AEE7DA4}"/>
    <w:embedItalic r:id="rId5" w:fontKey="{47FB4B62-6619-4BD8-9ACA-9FF8076924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7629DB-EC20-4F88-A5EB-A704F37615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84F"/>
    <w:multiLevelType w:val="multilevel"/>
    <w:tmpl w:val="A99659B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211560"/>
    <w:multiLevelType w:val="multilevel"/>
    <w:tmpl w:val="51AEFA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CD4E05"/>
    <w:multiLevelType w:val="multilevel"/>
    <w:tmpl w:val="BA6427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D70AE7"/>
    <w:multiLevelType w:val="multilevel"/>
    <w:tmpl w:val="C5C8FB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70800E8"/>
    <w:multiLevelType w:val="multilevel"/>
    <w:tmpl w:val="C786EE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95E0157"/>
    <w:multiLevelType w:val="multilevel"/>
    <w:tmpl w:val="3FE813F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AC30461"/>
    <w:multiLevelType w:val="multilevel"/>
    <w:tmpl w:val="7B7CD7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774941"/>
    <w:multiLevelType w:val="multilevel"/>
    <w:tmpl w:val="2A624D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4995D49"/>
    <w:multiLevelType w:val="multilevel"/>
    <w:tmpl w:val="0F0EEA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4FD7155"/>
    <w:multiLevelType w:val="multilevel"/>
    <w:tmpl w:val="0F6866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67C526C"/>
    <w:multiLevelType w:val="multilevel"/>
    <w:tmpl w:val="94BC9B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71F46F5"/>
    <w:multiLevelType w:val="multilevel"/>
    <w:tmpl w:val="D10EAEF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0CF615E"/>
    <w:multiLevelType w:val="multilevel"/>
    <w:tmpl w:val="288CC5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B2721A"/>
    <w:multiLevelType w:val="multilevel"/>
    <w:tmpl w:val="29A86E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69E3A3D"/>
    <w:multiLevelType w:val="multilevel"/>
    <w:tmpl w:val="F3E418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7A10C7B"/>
    <w:multiLevelType w:val="multilevel"/>
    <w:tmpl w:val="E8546A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9304623"/>
    <w:multiLevelType w:val="multilevel"/>
    <w:tmpl w:val="CDFAA0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BEF236D"/>
    <w:multiLevelType w:val="multilevel"/>
    <w:tmpl w:val="85B62DB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D1B2427"/>
    <w:multiLevelType w:val="multilevel"/>
    <w:tmpl w:val="6DC21A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8927125"/>
    <w:multiLevelType w:val="multilevel"/>
    <w:tmpl w:val="E392FFD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AED56B2"/>
    <w:multiLevelType w:val="multilevel"/>
    <w:tmpl w:val="7B665A6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1983459"/>
    <w:multiLevelType w:val="multilevel"/>
    <w:tmpl w:val="D8E208F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3887B58"/>
    <w:multiLevelType w:val="multilevel"/>
    <w:tmpl w:val="8146EA7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49D74C3"/>
    <w:multiLevelType w:val="multilevel"/>
    <w:tmpl w:val="74962B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6097F9A"/>
    <w:multiLevelType w:val="multilevel"/>
    <w:tmpl w:val="0CC2E37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6811648"/>
    <w:multiLevelType w:val="multilevel"/>
    <w:tmpl w:val="1D049FB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ACD535E"/>
    <w:multiLevelType w:val="multilevel"/>
    <w:tmpl w:val="2A44DF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1D40B69"/>
    <w:multiLevelType w:val="multilevel"/>
    <w:tmpl w:val="E54406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5E628F8"/>
    <w:multiLevelType w:val="multilevel"/>
    <w:tmpl w:val="DAE41F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5A4F5A14"/>
    <w:multiLevelType w:val="multilevel"/>
    <w:tmpl w:val="D65057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D5B46F2"/>
    <w:multiLevelType w:val="multilevel"/>
    <w:tmpl w:val="08E8ED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F7442F3"/>
    <w:multiLevelType w:val="multilevel"/>
    <w:tmpl w:val="68422D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F812DF4"/>
    <w:multiLevelType w:val="multilevel"/>
    <w:tmpl w:val="312013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6022B7D"/>
    <w:multiLevelType w:val="multilevel"/>
    <w:tmpl w:val="202829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61214FE"/>
    <w:multiLevelType w:val="multilevel"/>
    <w:tmpl w:val="00122A9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62E4A4B"/>
    <w:multiLevelType w:val="multilevel"/>
    <w:tmpl w:val="C77C9A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8BA7523"/>
    <w:multiLevelType w:val="multilevel"/>
    <w:tmpl w:val="445A9C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90A5F31"/>
    <w:multiLevelType w:val="multilevel"/>
    <w:tmpl w:val="562666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E184BC3"/>
    <w:multiLevelType w:val="multilevel"/>
    <w:tmpl w:val="9B7462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E8A7F4E"/>
    <w:multiLevelType w:val="multilevel"/>
    <w:tmpl w:val="5D7E07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F1A0AE1"/>
    <w:multiLevelType w:val="multilevel"/>
    <w:tmpl w:val="FA46F4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719E7928"/>
    <w:multiLevelType w:val="multilevel"/>
    <w:tmpl w:val="6D20D70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C6E5555"/>
    <w:multiLevelType w:val="multilevel"/>
    <w:tmpl w:val="D408CD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1427258">
    <w:abstractNumId w:val="39"/>
  </w:num>
  <w:num w:numId="2" w16cid:durableId="1168130306">
    <w:abstractNumId w:val="21"/>
  </w:num>
  <w:num w:numId="3" w16cid:durableId="275798620">
    <w:abstractNumId w:val="3"/>
  </w:num>
  <w:num w:numId="4" w16cid:durableId="340475816">
    <w:abstractNumId w:val="35"/>
  </w:num>
  <w:num w:numId="5" w16cid:durableId="1780876237">
    <w:abstractNumId w:val="28"/>
  </w:num>
  <w:num w:numId="6" w16cid:durableId="1366246821">
    <w:abstractNumId w:val="0"/>
  </w:num>
  <w:num w:numId="7" w16cid:durableId="2102754987">
    <w:abstractNumId w:val="26"/>
  </w:num>
  <w:num w:numId="8" w16cid:durableId="266737505">
    <w:abstractNumId w:val="23"/>
  </w:num>
  <w:num w:numId="9" w16cid:durableId="2098477252">
    <w:abstractNumId w:val="10"/>
  </w:num>
  <w:num w:numId="10" w16cid:durableId="525556356">
    <w:abstractNumId w:val="9"/>
  </w:num>
  <w:num w:numId="11" w16cid:durableId="1177228244">
    <w:abstractNumId w:val="33"/>
  </w:num>
  <w:num w:numId="12" w16cid:durableId="1441493061">
    <w:abstractNumId w:val="40"/>
  </w:num>
  <w:num w:numId="13" w16cid:durableId="1485463031">
    <w:abstractNumId w:val="11"/>
  </w:num>
  <w:num w:numId="14" w16cid:durableId="914821383">
    <w:abstractNumId w:val="36"/>
  </w:num>
  <w:num w:numId="15" w16cid:durableId="1139373436">
    <w:abstractNumId w:val="27"/>
  </w:num>
  <w:num w:numId="16" w16cid:durableId="1568953390">
    <w:abstractNumId w:val="4"/>
  </w:num>
  <w:num w:numId="17" w16cid:durableId="1287003668">
    <w:abstractNumId w:val="16"/>
  </w:num>
  <w:num w:numId="18" w16cid:durableId="1094938525">
    <w:abstractNumId w:val="38"/>
  </w:num>
  <w:num w:numId="19" w16cid:durableId="1707096804">
    <w:abstractNumId w:val="32"/>
  </w:num>
  <w:num w:numId="20" w16cid:durableId="1888105146">
    <w:abstractNumId w:val="13"/>
  </w:num>
  <w:num w:numId="21" w16cid:durableId="456529839">
    <w:abstractNumId w:val="14"/>
  </w:num>
  <w:num w:numId="22" w16cid:durableId="1294866268">
    <w:abstractNumId w:val="22"/>
  </w:num>
  <w:num w:numId="23" w16cid:durableId="289485001">
    <w:abstractNumId w:val="20"/>
  </w:num>
  <w:num w:numId="24" w16cid:durableId="804084883">
    <w:abstractNumId w:val="6"/>
  </w:num>
  <w:num w:numId="25" w16cid:durableId="1913273197">
    <w:abstractNumId w:val="41"/>
  </w:num>
  <w:num w:numId="26" w16cid:durableId="747847900">
    <w:abstractNumId w:val="31"/>
  </w:num>
  <w:num w:numId="27" w16cid:durableId="2018799958">
    <w:abstractNumId w:val="7"/>
  </w:num>
  <w:num w:numId="28" w16cid:durableId="1268123437">
    <w:abstractNumId w:val="34"/>
  </w:num>
  <w:num w:numId="29" w16cid:durableId="677463271">
    <w:abstractNumId w:val="19"/>
  </w:num>
  <w:num w:numId="30" w16cid:durableId="1037968448">
    <w:abstractNumId w:val="18"/>
  </w:num>
  <w:num w:numId="31" w16cid:durableId="989867127">
    <w:abstractNumId w:val="15"/>
  </w:num>
  <w:num w:numId="32" w16cid:durableId="1515723253">
    <w:abstractNumId w:val="1"/>
  </w:num>
  <w:num w:numId="33" w16cid:durableId="1729570866">
    <w:abstractNumId w:val="29"/>
  </w:num>
  <w:num w:numId="34" w16cid:durableId="814763591">
    <w:abstractNumId w:val="17"/>
  </w:num>
  <w:num w:numId="35" w16cid:durableId="2092701925">
    <w:abstractNumId w:val="2"/>
  </w:num>
  <w:num w:numId="36" w16cid:durableId="2108770419">
    <w:abstractNumId w:val="5"/>
  </w:num>
  <w:num w:numId="37" w16cid:durableId="1070687464">
    <w:abstractNumId w:val="25"/>
  </w:num>
  <w:num w:numId="38" w16cid:durableId="1917518376">
    <w:abstractNumId w:val="24"/>
  </w:num>
  <w:num w:numId="39" w16cid:durableId="925266044">
    <w:abstractNumId w:val="8"/>
  </w:num>
  <w:num w:numId="40" w16cid:durableId="108135372">
    <w:abstractNumId w:val="30"/>
  </w:num>
  <w:num w:numId="41" w16cid:durableId="990787512">
    <w:abstractNumId w:val="12"/>
  </w:num>
  <w:num w:numId="42" w16cid:durableId="813831815">
    <w:abstractNumId w:val="37"/>
  </w:num>
  <w:num w:numId="43" w16cid:durableId="120948690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142"/>
    <w:rsid w:val="000C7142"/>
    <w:rsid w:val="00B16FFC"/>
    <w:rsid w:val="00B5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0DB5"/>
  <w15:docId w15:val="{6136626E-B6BB-4C93-A8A2-C1015E73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customStyle="1" w:styleId="query-text-line">
    <w:name w:val="query-text-line"/>
    <w:basedOn w:val="Normal"/>
    <w:rsid w:val="00B16FF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16FFC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16FF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16FFC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16FF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16F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C7BFC-F93C-467A-9EF8-1948F1DD1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5720</Words>
  <Characters>32376</Characters>
  <Application>Microsoft Office Word</Application>
  <DocSecurity>0</DocSecurity>
  <Lines>809</Lines>
  <Paragraphs>544</Paragraphs>
  <ScaleCrop>false</ScaleCrop>
  <Company/>
  <LinksUpToDate>false</LinksUpToDate>
  <CharactersWithSpaces>37552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Aliza  Malik</cp:lastModifiedBy>
  <cp:revision>2</cp:revision>
  <dcterms:created xsi:type="dcterms:W3CDTF">2026-07-08T11:17:00Z</dcterms:created>
  <dcterms:modified xsi:type="dcterms:W3CDTF">2026-07-08T11:19:00Z</dcterms:modified>
</cp:coreProperties>
</file>