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Garden action decision and validation plan</w:t>
      </w:r>
    </w:p>
    <w:p>
      <w:r>
        <w:t>Person 3 report section  |  Six months from 1 January to 30 June 2026</w:t>
      </w:r>
    </w:p>
    <w:p>
      <w:r>
        <w:rPr>
          <w:b/>
        </w:rPr>
        <w:t>Recommendation.</w:t>
      </w:r>
      <w:r>
        <w:t xml:space="preserve"> Keep current operations while validating the recorded cost gap, then choose the feasible action with the highest positive benefit under evidence-supported volume and expense assumptions. Start with comparable supplier quotes and a limited purchasing trial if an avoidable premium is confirmed. Keep Harbour price matching as a competing test: the data do not establish a cost-only action as the financial winner.</w:t>
      </w:r>
    </w:p>
    <w:p>
      <w:r>
        <w:t>The illustrative 25% Harbour cost closure earns $3,980.87 before implementation expenses at unchanged volume. At 95% volume and $1,000 in expenses, it earns only $442.10. Harbour price matching earns $1,396.85 under those same hypothetical conditions. Full cost closure produces larger modeled gains, but its availability and cash effect have not been demonstrated.</w:t>
      </w:r>
    </w:p>
    <w:p>
      <w:pPr>
        <w:pStyle w:val="Heading2"/>
      </w:pPr>
      <w:r>
        <w:t>Corrected interpretation</w:t>
      </w:r>
    </w:p>
    <w:p>
      <w:r>
        <w:t>Garden’s listed prices are below Harbour’s and above Uptown’s for all 45 matched products. Neither a deliberate pricing strategy nor a systematic recording or allocation error is ruled out by these transactions. Constant recorded costs are compatible with several explanations. Waste is unmeasured; the data support no 25–50% ceiling on attainable savings.</w:t>
      </w:r>
    </w:p>
    <w:p>
      <w:pPr>
        <w:pStyle w:val="Heading2"/>
      </w:pPr>
      <w:r>
        <w:t>Decision calculation</w:t>
      </w:r>
    </w:p>
    <w:p>
      <w:r>
        <w:t>Let Gₛ be scenario gross profit at Garden’s observed quantities and G₀ = $46,794.49. Let v scale quantities while product mix and scenario unit economics remain fixed. Let K be all additional implementation expenses over the same six months. This is a proportional accounting stress test; it estimates no demand curve or customer response.</w:t>
      </w:r>
    </w:p>
    <w:p>
      <w:pPr>
        <w:spacing w:after="100"/>
      </w:pPr>
      <m:oMath>
        <m:r>
          <m:t>Incremental benefit = v</m:t>
        </m:r>
        <m:sSub>
          <m:e>
            <m:r>
              <m:t>G</m:t>
            </m:r>
          </m:e>
          <m:sub>
            <m:r>
              <m:t>s</m:t>
            </m:r>
          </m:sub>
        </m:sSub>
        <m:r>
          <m:t> − </m:t>
        </m:r>
        <m:sSub>
          <m:e>
            <m:r>
              <m:t>G</m:t>
            </m:r>
          </m:e>
          <m:sub>
            <m:r>
              <m:t>0</m:t>
            </m:r>
          </m:sub>
        </m:sSub>
        <m:r>
          <m:t> − K</m:t>
        </m:r>
      </m:oMath>
    </w:p>
    <w:p>
      <w:pPr>
        <w:spacing w:after="100"/>
      </w:pPr>
      <m:oMath>
        <m:sSub>
          <m:e>
            <m:r>
              <m:t>v</m:t>
            </m:r>
          </m:e>
          <m:sub>
            <m:r>
              <m:t>break-even</m:t>
            </m:r>
          </m:sub>
        </m:sSub>
        <m:r>
          <m:t> = </m:t>
        </m:r>
        <m:f>
          <m:num>
            <m:sSub>
              <m:e>
                <m:r>
                  <m:t>G</m:t>
                </m:r>
              </m:e>
              <m:sub>
                <m:r>
                  <m:t>0</m:t>
                </m:r>
              </m:sub>
            </m:sSub>
            <m:r>
              <m:t> + K</m:t>
            </m:r>
          </m:num>
          <m:den>
            <m:sSub>
              <m:e>
                <m:r>
                  <m:t>G</m:t>
                </m:r>
              </m:e>
              <m:sub>
                <m:r>
                  <m:t>s</m:t>
                </m:r>
              </m:sub>
            </m:sSub>
          </m:den>
        </m:f>
      </m:oMath>
    </w:p>
    <w:p>
      <w:pPr>
        <w:spacing w:after="100"/>
      </w:pPr>
      <m:oMath>
        <m:sSub>
          <m:e>
            <m:r>
              <m:t>K</m:t>
            </m:r>
          </m:e>
          <m:sub>
            <m:r>
              <m:t>max</m:t>
            </m:r>
          </m:sub>
        </m:sSub>
        <m:r>
          <m:t> = v</m:t>
        </m:r>
        <m:sSub>
          <m:e>
            <m:r>
              <m:t>G</m:t>
            </m:r>
          </m:e>
          <m:sub>
            <m:r>
              <m:t>s</m:t>
            </m:r>
          </m:sub>
        </m:sSub>
        <m:r>
          <m:t> − </m:t>
        </m:r>
        <m:sSub>
          <m:e>
            <m:r>
              <m:t>G</m:t>
            </m:r>
          </m:e>
          <m:sub>
            <m:r>
              <m:t>0</m:t>
            </m:r>
          </m:sub>
        </m:sSub>
      </m:oMath>
    </w:p>
    <w:p>
      <w:r>
        <w:t>These formulas apply because every Gₛ in the comparison is positive. A break-even v above 1 requires volume growth. A negative Kmax means the action loses against observed profit even with no implementation expense. Strictly positive benefit requires v above break-even, or K below Kmax.</w:t>
      </w:r>
    </w:p>
    <w:p>
      <w:pPr>
        <w:pStyle w:val="Heading2"/>
      </w:pPr>
      <w:r>
        <w:t>What 25 percent closure means</w:t>
      </w:r>
    </w:p>
    <w:p>
      <w:r>
        <w:t>Garden’s recorded costs total $52,954.06. Repricing its quantities at Harbour’s recorded unit costs gives $37,030.59, a $15,923.47 gap. Recovering one quarter of that gap saves $3,980.87, or 7.52% of Garden’s costs, and leaves $48,973.19 of costs. It does not mean cutting Garden costs by 25%. At 95% volume, 0.95 × $50,775.3575 − $46,794.49 = $1,442.10 before K.</w:t>
      </w:r>
    </w:p>
    <w:p>
      <w:pPr>
        <w:pStyle w:val="Heading1"/>
        <w:pageBreakBefore/>
      </w:pPr>
      <w:r>
        <w:t>Consolidated scenario comparison</w:t>
      </w:r>
    </w:p>
    <w:p>
      <w:r>
        <w:t>All values cover the same six months. Dollar columns below are rounded to whole dollars for readability; supporting tables retain precision. H means Harbour and U means Uptown. Closure percentages refer to the reference cost gap. Garden’s observed discount rates are retained except in the final row.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1512"/>
        <w:gridCol w:w="1584"/>
        <w:gridCol w:w="1656"/>
        <w:gridCol w:w="1944"/>
      </w:tblGrid>
      <w:tr>
        <w:trPr>
          <w:cantSplit/>
          <w:tblHeader/>
        </w:trPr>
        <w:tc>
          <w:tcPr>
            <w:tcW w:type="dxa" w:w="3672"/>
            <w:vAlign w:val="center"/>
            <w:tcMar>
              <w:top w:w="65" w:type="dxa"/>
              <w:bottom w:w="65" w:type="dxa"/>
              <w:left w:w="85" w:type="dxa"/>
              <w:right w:w="85" w:type="dxa"/>
            </w:tcMar>
            <w:shd w:fill="20384A"/>
          </w:tcPr>
          <w:p>
            <w:pPr>
              <w:spacing w:after="0" w:line="240" w:lineRule="auto"/>
              <w:jc w:val="left"/>
            </w:pPr>
            <w:r>
              <w:rPr>
                <w:b/>
                <w:color w:val="FFFFFF"/>
                <w:sz w:val="20"/>
              </w:rPr>
              <w:t>Action</w:t>
            </w:r>
          </w:p>
        </w:tc>
        <w:tc>
          <w:tcPr>
            <w:tcW w:type="dxa" w:w="1512"/>
            <w:vAlign w:val="center"/>
            <w:tcMar>
              <w:top w:w="65" w:type="dxa"/>
              <w:bottom w:w="65" w:type="dxa"/>
              <w:left w:w="85" w:type="dxa"/>
              <w:right w:w="85" w:type="dxa"/>
            </w:tcMar>
            <w:shd w:fill="20384A"/>
          </w:tcPr>
          <w:p>
            <w:pPr>
              <w:spacing w:after="0" w:line="240" w:lineRule="auto"/>
              <w:jc w:val="center"/>
            </w:pPr>
            <w:r>
              <w:rPr>
                <w:b/>
                <w:color w:val="FFFFFF"/>
                <w:sz w:val="20"/>
              </w:rPr>
              <w:t>Garden cost reduction</w:t>
            </w:r>
          </w:p>
        </w:tc>
        <w:tc>
          <w:tcPr>
            <w:tcW w:type="dxa" w:w="1584"/>
            <w:vAlign w:val="center"/>
            <w:tcMar>
              <w:top w:w="65" w:type="dxa"/>
              <w:bottom w:w="65" w:type="dxa"/>
              <w:left w:w="85" w:type="dxa"/>
              <w:right w:w="85" w:type="dxa"/>
            </w:tcMar>
            <w:shd w:fill="20384A"/>
          </w:tcPr>
          <w:p>
            <w:pPr>
              <w:spacing w:after="0" w:line="240" w:lineRule="auto"/>
              <w:jc w:val="center"/>
            </w:pPr>
            <w:r>
              <w:rPr>
                <w:b/>
                <w:color w:val="FFFFFF"/>
                <w:sz w:val="20"/>
              </w:rPr>
              <w:t>Gₛ</w:t>
              <w:br/>
              <w:t>USD</w:t>
            </w:r>
          </w:p>
        </w:tc>
        <w:tc>
          <w:tcPr>
            <w:tcW w:type="dxa" w:w="1656"/>
            <w:vAlign w:val="center"/>
            <w:tcMar>
              <w:top w:w="65" w:type="dxa"/>
              <w:bottom w:w="65" w:type="dxa"/>
              <w:left w:w="85" w:type="dxa"/>
              <w:right w:w="85" w:type="dxa"/>
            </w:tcMar>
            <w:shd w:fill="20384A"/>
          </w:tcPr>
          <w:p>
            <w:pPr>
              <w:spacing w:after="0" w:line="240" w:lineRule="auto"/>
              <w:jc w:val="center"/>
            </w:pPr>
            <w:r>
              <w:rPr>
                <w:b/>
                <w:color w:val="FFFFFF"/>
                <w:sz w:val="20"/>
              </w:rPr>
              <w:t>Benefit</w:t>
              <w:br/>
              <w:t>v 100%</w:t>
              <w:br/>
              <w:t>K $0</w:t>
            </w:r>
          </w:p>
        </w:tc>
        <w:tc>
          <w:tcPr>
            <w:tcW w:type="dxa" w:w="1944"/>
            <w:vAlign w:val="center"/>
            <w:tcMar>
              <w:top w:w="65" w:type="dxa"/>
              <w:bottom w:w="65" w:type="dxa"/>
              <w:left w:w="85" w:type="dxa"/>
              <w:right w:w="85" w:type="dxa"/>
            </w:tcMar>
            <w:shd w:fill="20384A"/>
          </w:tcPr>
          <w:p>
            <w:pPr>
              <w:spacing w:after="0" w:line="240" w:lineRule="auto"/>
              <w:jc w:val="center"/>
            </w:pPr>
            <w:r>
              <w:rPr>
                <w:b/>
                <w:color w:val="FFFFFF"/>
                <w:sz w:val="20"/>
              </w:rPr>
              <w:t>Benefit</w:t>
              <w:br/>
              <w:t>v 95%</w:t>
              <w:br/>
              <w:t>K $1,000</w:t>
            </w:r>
          </w:p>
        </w:tc>
      </w:tr>
      <w:tr>
        <w:trPr>
          <w:cantSplit/>
        </w:trPr>
        <w:tc>
          <w:tcPr>
            <w:tcW w:type="dxa" w:w="3672"/>
            <w:vAlign w:val="center"/>
            <w:tcMar>
              <w:top w:w="65" w:type="dxa"/>
              <w:bottom w:w="65" w:type="dxa"/>
              <w:left w:w="85" w:type="dxa"/>
              <w:right w:w="85" w:type="dxa"/>
            </w:tcMar>
            <w:shd w:fill="FFFFFF"/>
          </w:tcPr>
          <w:p>
            <w:pPr>
              <w:spacing w:after="0" w:line="240" w:lineRule="auto"/>
              <w:jc w:val="left"/>
            </w:pPr>
            <w:r>
              <w:rPr>
                <w:b w:val="0"/>
                <w:color w:val="000000"/>
                <w:sz w:val="20"/>
              </w:rPr>
              <w:t>Do nothing</w:t>
            </w:r>
          </w:p>
        </w:tc>
        <w:tc>
          <w:tcPr>
            <w:tcW w:type="dxa" w:w="1512"/>
            <w:vAlign w:val="center"/>
            <w:tcMar>
              <w:top w:w="65" w:type="dxa"/>
              <w:bottom w:w="65" w:type="dxa"/>
              <w:left w:w="85" w:type="dxa"/>
              <w:right w:w="85" w:type="dxa"/>
            </w:tcMar>
            <w:shd w:fill="FFFFFF"/>
          </w:tcPr>
          <w:p>
            <w:pPr>
              <w:spacing w:after="0" w:line="240" w:lineRule="auto"/>
              <w:jc w:val="center"/>
            </w:pPr>
            <w:r>
              <w:rPr>
                <w:b w:val="0"/>
                <w:color w:val="000000"/>
                <w:sz w:val="20"/>
              </w:rPr>
              <w:t>0.00%</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46,794</w:t>
            </w:r>
          </w:p>
        </w:tc>
        <w:tc>
          <w:tcPr>
            <w:tcW w:type="dxa" w:w="1656"/>
            <w:vAlign w:val="center"/>
            <w:tcMar>
              <w:top w:w="65" w:type="dxa"/>
              <w:bottom w:w="65" w:type="dxa"/>
              <w:left w:w="85" w:type="dxa"/>
              <w:right w:w="85" w:type="dxa"/>
            </w:tcMar>
            <w:shd w:fill="FFFFFF"/>
          </w:tcPr>
          <w:p>
            <w:pPr>
              <w:spacing w:after="0" w:line="240" w:lineRule="auto"/>
              <w:jc w:val="center"/>
            </w:pPr>
            <w:r>
              <w:rPr>
                <w:b w:val="0"/>
                <w:color w:val="000000"/>
                <w:sz w:val="20"/>
              </w:rPr>
              <w:t>0</w:t>
            </w:r>
          </w:p>
        </w:tc>
        <w:tc>
          <w:tcPr>
            <w:tcW w:type="dxa" w:w="1944"/>
            <w:vAlign w:val="center"/>
            <w:tcMar>
              <w:top w:w="65" w:type="dxa"/>
              <w:bottom w:w="65" w:type="dxa"/>
              <w:left w:w="85" w:type="dxa"/>
              <w:right w:w="85" w:type="dxa"/>
            </w:tcMar>
            <w:shd w:fill="FFFFFF"/>
          </w:tcPr>
          <w:p>
            <w:pPr>
              <w:spacing w:after="0" w:line="240" w:lineRule="auto"/>
              <w:jc w:val="center"/>
            </w:pPr>
            <w:r>
              <w:rPr>
                <w:b w:val="0"/>
                <w:color w:val="000000"/>
                <w:sz w:val="20"/>
              </w:rPr>
              <w:t>—</w:t>
            </w:r>
          </w:p>
        </w:tc>
      </w:tr>
      <w:tr>
        <w:trPr>
          <w:cantSplit/>
        </w:trPr>
        <w:tc>
          <w:tcPr>
            <w:tcW w:type="dxa" w:w="3672"/>
            <w:vAlign w:val="center"/>
            <w:tcMar>
              <w:top w:w="65" w:type="dxa"/>
              <w:bottom w:w="65" w:type="dxa"/>
              <w:left w:w="85" w:type="dxa"/>
              <w:right w:w="85" w:type="dxa"/>
            </w:tcMar>
            <w:shd w:fill="F0F4F7"/>
          </w:tcPr>
          <w:p>
            <w:pPr>
              <w:spacing w:after="0" w:line="240" w:lineRule="auto"/>
              <w:jc w:val="left"/>
            </w:pPr>
            <w:r>
              <w:rPr>
                <w:b w:val="0"/>
                <w:color w:val="000000"/>
                <w:sz w:val="20"/>
              </w:rPr>
              <w:t>H prices only</w:t>
            </w:r>
          </w:p>
        </w:tc>
        <w:tc>
          <w:tcPr>
            <w:tcW w:type="dxa" w:w="1512"/>
            <w:vAlign w:val="center"/>
            <w:tcMar>
              <w:top w:w="65" w:type="dxa"/>
              <w:bottom w:w="65" w:type="dxa"/>
              <w:left w:w="85" w:type="dxa"/>
              <w:right w:w="85" w:type="dxa"/>
            </w:tcMar>
            <w:shd w:fill="F0F4F7"/>
          </w:tcPr>
          <w:p>
            <w:pPr>
              <w:spacing w:after="0" w:line="240" w:lineRule="auto"/>
              <w:jc w:val="center"/>
            </w:pPr>
            <w:r>
              <w:rPr>
                <w:b w:val="0"/>
                <w:color w:val="000000"/>
                <w:sz w:val="20"/>
              </w:rPr>
              <w:t>0.00%</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51,780</w:t>
            </w:r>
          </w:p>
        </w:tc>
        <w:tc>
          <w:tcPr>
            <w:tcW w:type="dxa" w:w="1656"/>
            <w:vAlign w:val="center"/>
            <w:tcMar>
              <w:top w:w="65" w:type="dxa"/>
              <w:bottom w:w="65" w:type="dxa"/>
              <w:left w:w="85" w:type="dxa"/>
              <w:right w:w="85" w:type="dxa"/>
            </w:tcMar>
            <w:shd w:fill="F0F4F7"/>
          </w:tcPr>
          <w:p>
            <w:pPr>
              <w:spacing w:after="0" w:line="240" w:lineRule="auto"/>
              <w:jc w:val="center"/>
            </w:pPr>
            <w:r>
              <w:rPr>
                <w:b w:val="0"/>
                <w:color w:val="000000"/>
                <w:sz w:val="20"/>
              </w:rPr>
              <w:t>4,986</w:t>
            </w:r>
          </w:p>
        </w:tc>
        <w:tc>
          <w:tcPr>
            <w:tcW w:type="dxa" w:w="1944"/>
            <w:vAlign w:val="center"/>
            <w:tcMar>
              <w:top w:w="65" w:type="dxa"/>
              <w:bottom w:w="65" w:type="dxa"/>
              <w:left w:w="85" w:type="dxa"/>
              <w:right w:w="85" w:type="dxa"/>
            </w:tcMar>
            <w:shd w:fill="F0F4F7"/>
          </w:tcPr>
          <w:p>
            <w:pPr>
              <w:spacing w:after="0" w:line="240" w:lineRule="auto"/>
              <w:jc w:val="center"/>
            </w:pPr>
            <w:r>
              <w:rPr>
                <w:b w:val="0"/>
                <w:color w:val="000000"/>
                <w:sz w:val="20"/>
              </w:rPr>
              <w:t>1,397</w:t>
            </w:r>
          </w:p>
        </w:tc>
      </w:tr>
      <w:tr>
        <w:trPr>
          <w:cantSplit/>
        </w:trPr>
        <w:tc>
          <w:tcPr>
            <w:tcW w:type="dxa" w:w="3672"/>
            <w:vAlign w:val="center"/>
            <w:tcMar>
              <w:top w:w="65" w:type="dxa"/>
              <w:bottom w:w="65" w:type="dxa"/>
              <w:left w:w="85" w:type="dxa"/>
              <w:right w:w="85" w:type="dxa"/>
            </w:tcMar>
            <w:shd w:fill="FFFFFF"/>
          </w:tcPr>
          <w:p>
            <w:pPr>
              <w:spacing w:after="0" w:line="240" w:lineRule="auto"/>
              <w:jc w:val="left"/>
            </w:pPr>
            <w:r>
              <w:rPr>
                <w:b w:val="0"/>
                <w:color w:val="000000"/>
                <w:sz w:val="20"/>
              </w:rPr>
              <w:t>U prices only</w:t>
            </w:r>
          </w:p>
        </w:tc>
        <w:tc>
          <w:tcPr>
            <w:tcW w:type="dxa" w:w="1512"/>
            <w:vAlign w:val="center"/>
            <w:tcMar>
              <w:top w:w="65" w:type="dxa"/>
              <w:bottom w:w="65" w:type="dxa"/>
              <w:left w:w="85" w:type="dxa"/>
              <w:right w:w="85" w:type="dxa"/>
            </w:tcMar>
            <w:shd w:fill="FFFFFF"/>
          </w:tcPr>
          <w:p>
            <w:pPr>
              <w:spacing w:after="0" w:line="240" w:lineRule="auto"/>
              <w:jc w:val="center"/>
            </w:pPr>
            <w:r>
              <w:rPr>
                <w:b w:val="0"/>
                <w:color w:val="000000"/>
                <w:sz w:val="20"/>
              </w:rPr>
              <w:t>0.00%</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42,789</w:t>
            </w:r>
          </w:p>
        </w:tc>
        <w:tc>
          <w:tcPr>
            <w:tcW w:type="dxa" w:w="1656"/>
            <w:vAlign w:val="center"/>
            <w:tcMar>
              <w:top w:w="65" w:type="dxa"/>
              <w:bottom w:w="65" w:type="dxa"/>
              <w:left w:w="85" w:type="dxa"/>
              <w:right w:w="85" w:type="dxa"/>
            </w:tcMar>
            <w:shd w:fill="FFFFFF"/>
          </w:tcPr>
          <w:p>
            <w:pPr>
              <w:spacing w:after="0" w:line="240" w:lineRule="auto"/>
              <w:jc w:val="center"/>
            </w:pPr>
            <w:r>
              <w:rPr>
                <w:b w:val="0"/>
                <w:color w:val="000000"/>
                <w:sz w:val="20"/>
              </w:rPr>
              <w:t>−4,006</w:t>
            </w:r>
          </w:p>
        </w:tc>
        <w:tc>
          <w:tcPr>
            <w:tcW w:type="dxa" w:w="1944"/>
            <w:vAlign w:val="center"/>
            <w:tcMar>
              <w:top w:w="65" w:type="dxa"/>
              <w:bottom w:w="65" w:type="dxa"/>
              <w:left w:w="85" w:type="dxa"/>
              <w:right w:w="85" w:type="dxa"/>
            </w:tcMar>
            <w:shd w:fill="FFFFFF"/>
          </w:tcPr>
          <w:p>
            <w:pPr>
              <w:spacing w:after="0" w:line="240" w:lineRule="auto"/>
              <w:jc w:val="center"/>
            </w:pPr>
            <w:r>
              <w:rPr>
                <w:b w:val="0"/>
                <w:color w:val="000000"/>
                <w:sz w:val="20"/>
              </w:rPr>
              <w:t>−7,145</w:t>
            </w:r>
          </w:p>
        </w:tc>
      </w:tr>
      <w:tr>
        <w:trPr>
          <w:cantSplit/>
        </w:trPr>
        <w:tc>
          <w:tcPr>
            <w:tcW w:type="dxa" w:w="3672"/>
            <w:vAlign w:val="center"/>
            <w:tcMar>
              <w:top w:w="65" w:type="dxa"/>
              <w:bottom w:w="65" w:type="dxa"/>
              <w:left w:w="85" w:type="dxa"/>
              <w:right w:w="85" w:type="dxa"/>
            </w:tcMar>
            <w:shd w:fill="F0F4F7"/>
          </w:tcPr>
          <w:p>
            <w:pPr>
              <w:spacing w:after="0" w:line="240" w:lineRule="auto"/>
              <w:jc w:val="left"/>
            </w:pPr>
            <w:r>
              <w:rPr>
                <w:b w:val="0"/>
                <w:color w:val="000000"/>
                <w:sz w:val="20"/>
              </w:rPr>
              <w:t>H gap 25% · Garden prices</w:t>
            </w:r>
          </w:p>
        </w:tc>
        <w:tc>
          <w:tcPr>
            <w:tcW w:type="dxa" w:w="1512"/>
            <w:vAlign w:val="center"/>
            <w:tcMar>
              <w:top w:w="65" w:type="dxa"/>
              <w:bottom w:w="65" w:type="dxa"/>
              <w:left w:w="85" w:type="dxa"/>
              <w:right w:w="85" w:type="dxa"/>
            </w:tcMar>
            <w:shd w:fill="F0F4F7"/>
          </w:tcPr>
          <w:p>
            <w:pPr>
              <w:spacing w:after="0" w:line="240" w:lineRule="auto"/>
              <w:jc w:val="center"/>
            </w:pPr>
            <w:r>
              <w:rPr>
                <w:b w:val="0"/>
                <w:color w:val="000000"/>
                <w:sz w:val="20"/>
              </w:rPr>
              <w:t>7.52%</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50,775</w:t>
            </w:r>
          </w:p>
        </w:tc>
        <w:tc>
          <w:tcPr>
            <w:tcW w:type="dxa" w:w="1656"/>
            <w:vAlign w:val="center"/>
            <w:tcMar>
              <w:top w:w="65" w:type="dxa"/>
              <w:bottom w:w="65" w:type="dxa"/>
              <w:left w:w="85" w:type="dxa"/>
              <w:right w:w="85" w:type="dxa"/>
            </w:tcMar>
            <w:shd w:fill="F0F4F7"/>
          </w:tcPr>
          <w:p>
            <w:pPr>
              <w:spacing w:after="0" w:line="240" w:lineRule="auto"/>
              <w:jc w:val="center"/>
            </w:pPr>
            <w:r>
              <w:rPr>
                <w:b w:val="0"/>
                <w:color w:val="000000"/>
                <w:sz w:val="20"/>
              </w:rPr>
              <w:t>3,981</w:t>
            </w:r>
          </w:p>
        </w:tc>
        <w:tc>
          <w:tcPr>
            <w:tcW w:type="dxa" w:w="1944"/>
            <w:vAlign w:val="center"/>
            <w:tcMar>
              <w:top w:w="65" w:type="dxa"/>
              <w:bottom w:w="65" w:type="dxa"/>
              <w:left w:w="85" w:type="dxa"/>
              <w:right w:w="85" w:type="dxa"/>
            </w:tcMar>
            <w:shd w:fill="F0F4F7"/>
          </w:tcPr>
          <w:p>
            <w:pPr>
              <w:spacing w:after="0" w:line="240" w:lineRule="auto"/>
              <w:jc w:val="center"/>
            </w:pPr>
            <w:r>
              <w:rPr>
                <w:b w:val="0"/>
                <w:color w:val="000000"/>
                <w:sz w:val="20"/>
              </w:rPr>
              <w:t>442</w:t>
            </w:r>
          </w:p>
        </w:tc>
      </w:tr>
      <w:tr>
        <w:trPr>
          <w:cantSplit/>
        </w:trPr>
        <w:tc>
          <w:tcPr>
            <w:tcW w:type="dxa" w:w="3672"/>
            <w:vAlign w:val="center"/>
            <w:tcMar>
              <w:top w:w="65" w:type="dxa"/>
              <w:bottom w:w="65" w:type="dxa"/>
              <w:left w:w="85" w:type="dxa"/>
              <w:right w:w="85" w:type="dxa"/>
            </w:tcMar>
            <w:shd w:fill="FFFFFF"/>
          </w:tcPr>
          <w:p>
            <w:pPr>
              <w:spacing w:after="0" w:line="240" w:lineRule="auto"/>
              <w:jc w:val="left"/>
            </w:pPr>
            <w:r>
              <w:rPr>
                <w:b w:val="0"/>
                <w:color w:val="000000"/>
                <w:sz w:val="20"/>
              </w:rPr>
              <w:t>H gap 50% · Garden prices</w:t>
            </w:r>
          </w:p>
        </w:tc>
        <w:tc>
          <w:tcPr>
            <w:tcW w:type="dxa" w:w="1512"/>
            <w:vAlign w:val="center"/>
            <w:tcMar>
              <w:top w:w="65" w:type="dxa"/>
              <w:bottom w:w="65" w:type="dxa"/>
              <w:left w:w="85" w:type="dxa"/>
              <w:right w:w="85" w:type="dxa"/>
            </w:tcMar>
            <w:shd w:fill="FFFFFF"/>
          </w:tcPr>
          <w:p>
            <w:pPr>
              <w:spacing w:after="0" w:line="240" w:lineRule="auto"/>
              <w:jc w:val="center"/>
            </w:pPr>
            <w:r>
              <w:rPr>
                <w:b w:val="0"/>
                <w:color w:val="000000"/>
                <w:sz w:val="20"/>
              </w:rPr>
              <w:t>15.04%</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54,756</w:t>
            </w:r>
          </w:p>
        </w:tc>
        <w:tc>
          <w:tcPr>
            <w:tcW w:type="dxa" w:w="1656"/>
            <w:vAlign w:val="center"/>
            <w:tcMar>
              <w:top w:w="65" w:type="dxa"/>
              <w:bottom w:w="65" w:type="dxa"/>
              <w:left w:w="85" w:type="dxa"/>
              <w:right w:w="85" w:type="dxa"/>
            </w:tcMar>
            <w:shd w:fill="FFFFFF"/>
          </w:tcPr>
          <w:p>
            <w:pPr>
              <w:spacing w:after="0" w:line="240" w:lineRule="auto"/>
              <w:jc w:val="center"/>
            </w:pPr>
            <w:r>
              <w:rPr>
                <w:b w:val="0"/>
                <w:color w:val="000000"/>
                <w:sz w:val="20"/>
              </w:rPr>
              <w:t>7,962</w:t>
            </w:r>
          </w:p>
        </w:tc>
        <w:tc>
          <w:tcPr>
            <w:tcW w:type="dxa" w:w="1944"/>
            <w:vAlign w:val="center"/>
            <w:tcMar>
              <w:top w:w="65" w:type="dxa"/>
              <w:bottom w:w="65" w:type="dxa"/>
              <w:left w:w="85" w:type="dxa"/>
              <w:right w:w="85" w:type="dxa"/>
            </w:tcMar>
            <w:shd w:fill="FFFFFF"/>
          </w:tcPr>
          <w:p>
            <w:pPr>
              <w:spacing w:after="0" w:line="240" w:lineRule="auto"/>
              <w:jc w:val="center"/>
            </w:pPr>
            <w:r>
              <w:rPr>
                <w:b w:val="0"/>
                <w:color w:val="000000"/>
                <w:sz w:val="20"/>
              </w:rPr>
              <w:t>4,224</w:t>
            </w:r>
          </w:p>
        </w:tc>
      </w:tr>
      <w:tr>
        <w:trPr>
          <w:cantSplit/>
        </w:trPr>
        <w:tc>
          <w:tcPr>
            <w:tcW w:type="dxa" w:w="3672"/>
            <w:vAlign w:val="center"/>
            <w:tcMar>
              <w:top w:w="65" w:type="dxa"/>
              <w:bottom w:w="65" w:type="dxa"/>
              <w:left w:w="85" w:type="dxa"/>
              <w:right w:w="85" w:type="dxa"/>
            </w:tcMar>
            <w:shd w:fill="F0F4F7"/>
          </w:tcPr>
          <w:p>
            <w:pPr>
              <w:spacing w:after="0" w:line="240" w:lineRule="auto"/>
              <w:jc w:val="left"/>
            </w:pPr>
            <w:r>
              <w:rPr>
                <w:b w:val="0"/>
                <w:color w:val="000000"/>
                <w:sz w:val="20"/>
              </w:rPr>
              <w:t>H gap 100% · Garden prices</w:t>
            </w:r>
          </w:p>
        </w:tc>
        <w:tc>
          <w:tcPr>
            <w:tcW w:type="dxa" w:w="1512"/>
            <w:vAlign w:val="center"/>
            <w:tcMar>
              <w:top w:w="65" w:type="dxa"/>
              <w:bottom w:w="65" w:type="dxa"/>
              <w:left w:w="85" w:type="dxa"/>
              <w:right w:w="85" w:type="dxa"/>
            </w:tcMar>
            <w:shd w:fill="F0F4F7"/>
          </w:tcPr>
          <w:p>
            <w:pPr>
              <w:spacing w:after="0" w:line="240" w:lineRule="auto"/>
              <w:jc w:val="center"/>
            </w:pPr>
            <w:r>
              <w:rPr>
                <w:b w:val="0"/>
                <w:color w:val="000000"/>
                <w:sz w:val="20"/>
              </w:rPr>
              <w:t>30.07%</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62,718</w:t>
            </w:r>
          </w:p>
        </w:tc>
        <w:tc>
          <w:tcPr>
            <w:tcW w:type="dxa" w:w="1656"/>
            <w:vAlign w:val="center"/>
            <w:tcMar>
              <w:top w:w="65" w:type="dxa"/>
              <w:bottom w:w="65" w:type="dxa"/>
              <w:left w:w="85" w:type="dxa"/>
              <w:right w:w="85" w:type="dxa"/>
            </w:tcMar>
            <w:shd w:fill="F0F4F7"/>
          </w:tcPr>
          <w:p>
            <w:pPr>
              <w:spacing w:after="0" w:line="240" w:lineRule="auto"/>
              <w:jc w:val="center"/>
            </w:pPr>
            <w:r>
              <w:rPr>
                <w:b w:val="0"/>
                <w:color w:val="000000"/>
                <w:sz w:val="20"/>
              </w:rPr>
              <w:t>15,923</w:t>
            </w:r>
          </w:p>
        </w:tc>
        <w:tc>
          <w:tcPr>
            <w:tcW w:type="dxa" w:w="1944"/>
            <w:vAlign w:val="center"/>
            <w:tcMar>
              <w:top w:w="65" w:type="dxa"/>
              <w:bottom w:w="65" w:type="dxa"/>
              <w:left w:w="85" w:type="dxa"/>
              <w:right w:w="85" w:type="dxa"/>
            </w:tcMar>
            <w:shd w:fill="F0F4F7"/>
          </w:tcPr>
          <w:p>
            <w:pPr>
              <w:spacing w:after="0" w:line="240" w:lineRule="auto"/>
              <w:jc w:val="center"/>
            </w:pPr>
            <w:r>
              <w:rPr>
                <w:b w:val="0"/>
                <w:color w:val="000000"/>
                <w:sz w:val="20"/>
              </w:rPr>
              <w:t>11,788</w:t>
            </w:r>
          </w:p>
        </w:tc>
      </w:tr>
      <w:tr>
        <w:trPr>
          <w:cantSplit/>
        </w:trPr>
        <w:tc>
          <w:tcPr>
            <w:tcW w:type="dxa" w:w="3672"/>
            <w:vAlign w:val="center"/>
            <w:tcMar>
              <w:top w:w="65" w:type="dxa"/>
              <w:bottom w:w="65" w:type="dxa"/>
              <w:left w:w="85" w:type="dxa"/>
              <w:right w:w="85" w:type="dxa"/>
            </w:tcMar>
            <w:shd w:fill="FFFFFF"/>
          </w:tcPr>
          <w:p>
            <w:pPr>
              <w:spacing w:after="0" w:line="240" w:lineRule="auto"/>
              <w:jc w:val="left"/>
            </w:pPr>
            <w:r>
              <w:rPr>
                <w:b w:val="0"/>
                <w:color w:val="000000"/>
                <w:sz w:val="20"/>
              </w:rPr>
              <w:t>U gap 25% · Garden prices</w:t>
            </w:r>
          </w:p>
        </w:tc>
        <w:tc>
          <w:tcPr>
            <w:tcW w:type="dxa" w:w="1512"/>
            <w:vAlign w:val="center"/>
            <w:tcMar>
              <w:top w:w="65" w:type="dxa"/>
              <w:bottom w:w="65" w:type="dxa"/>
              <w:left w:w="85" w:type="dxa"/>
              <w:right w:w="85" w:type="dxa"/>
            </w:tcMar>
            <w:shd w:fill="FFFFFF"/>
          </w:tcPr>
          <w:p>
            <w:pPr>
              <w:spacing w:after="0" w:line="240" w:lineRule="auto"/>
              <w:jc w:val="center"/>
            </w:pPr>
            <w:r>
              <w:rPr>
                <w:b w:val="0"/>
                <w:color w:val="000000"/>
                <w:sz w:val="20"/>
              </w:rPr>
              <w:t>8.22%</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51,147</w:t>
            </w:r>
          </w:p>
        </w:tc>
        <w:tc>
          <w:tcPr>
            <w:tcW w:type="dxa" w:w="1656"/>
            <w:vAlign w:val="center"/>
            <w:tcMar>
              <w:top w:w="65" w:type="dxa"/>
              <w:bottom w:w="65" w:type="dxa"/>
              <w:left w:w="85" w:type="dxa"/>
              <w:right w:w="85" w:type="dxa"/>
            </w:tcMar>
            <w:shd w:fill="FFFFFF"/>
          </w:tcPr>
          <w:p>
            <w:pPr>
              <w:spacing w:after="0" w:line="240" w:lineRule="auto"/>
              <w:jc w:val="center"/>
            </w:pPr>
            <w:r>
              <w:rPr>
                <w:b w:val="0"/>
                <w:color w:val="000000"/>
                <w:sz w:val="20"/>
              </w:rPr>
              <w:t>4,352</w:t>
            </w:r>
          </w:p>
        </w:tc>
        <w:tc>
          <w:tcPr>
            <w:tcW w:type="dxa" w:w="1944"/>
            <w:vAlign w:val="center"/>
            <w:tcMar>
              <w:top w:w="65" w:type="dxa"/>
              <w:bottom w:w="65" w:type="dxa"/>
              <w:left w:w="85" w:type="dxa"/>
              <w:right w:w="85" w:type="dxa"/>
            </w:tcMar>
            <w:shd w:fill="FFFFFF"/>
          </w:tcPr>
          <w:p>
            <w:pPr>
              <w:spacing w:after="0" w:line="240" w:lineRule="auto"/>
              <w:jc w:val="center"/>
            </w:pPr>
            <w:r>
              <w:rPr>
                <w:b w:val="0"/>
                <w:color w:val="000000"/>
                <w:sz w:val="20"/>
              </w:rPr>
              <w:t>795</w:t>
            </w:r>
          </w:p>
        </w:tc>
      </w:tr>
      <w:tr>
        <w:trPr>
          <w:cantSplit/>
        </w:trPr>
        <w:tc>
          <w:tcPr>
            <w:tcW w:type="dxa" w:w="3672"/>
            <w:vAlign w:val="center"/>
            <w:tcMar>
              <w:top w:w="65" w:type="dxa"/>
              <w:bottom w:w="65" w:type="dxa"/>
              <w:left w:w="85" w:type="dxa"/>
              <w:right w:w="85" w:type="dxa"/>
            </w:tcMar>
            <w:shd w:fill="F0F4F7"/>
          </w:tcPr>
          <w:p>
            <w:pPr>
              <w:spacing w:after="0" w:line="240" w:lineRule="auto"/>
              <w:jc w:val="left"/>
            </w:pPr>
            <w:r>
              <w:rPr>
                <w:b w:val="0"/>
                <w:color w:val="000000"/>
                <w:sz w:val="20"/>
              </w:rPr>
              <w:t>U gap 50% · Garden prices</w:t>
            </w:r>
          </w:p>
        </w:tc>
        <w:tc>
          <w:tcPr>
            <w:tcW w:type="dxa" w:w="1512"/>
            <w:vAlign w:val="center"/>
            <w:tcMar>
              <w:top w:w="65" w:type="dxa"/>
              <w:bottom w:w="65" w:type="dxa"/>
              <w:left w:w="85" w:type="dxa"/>
              <w:right w:w="85" w:type="dxa"/>
            </w:tcMar>
            <w:shd w:fill="F0F4F7"/>
          </w:tcPr>
          <w:p>
            <w:pPr>
              <w:spacing w:after="0" w:line="240" w:lineRule="auto"/>
              <w:jc w:val="center"/>
            </w:pPr>
            <w:r>
              <w:rPr>
                <w:b w:val="0"/>
                <w:color w:val="000000"/>
                <w:sz w:val="20"/>
              </w:rPr>
              <w:t>16.44%</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55,499</w:t>
            </w:r>
          </w:p>
        </w:tc>
        <w:tc>
          <w:tcPr>
            <w:tcW w:type="dxa" w:w="1656"/>
            <w:vAlign w:val="center"/>
            <w:tcMar>
              <w:top w:w="65" w:type="dxa"/>
              <w:bottom w:w="65" w:type="dxa"/>
              <w:left w:w="85" w:type="dxa"/>
              <w:right w:w="85" w:type="dxa"/>
            </w:tcMar>
            <w:shd w:fill="F0F4F7"/>
          </w:tcPr>
          <w:p>
            <w:pPr>
              <w:spacing w:after="0" w:line="240" w:lineRule="auto"/>
              <w:jc w:val="center"/>
            </w:pPr>
            <w:r>
              <w:rPr>
                <w:b w:val="0"/>
                <w:color w:val="000000"/>
                <w:sz w:val="20"/>
              </w:rPr>
              <w:t>8,705</w:t>
            </w:r>
          </w:p>
        </w:tc>
        <w:tc>
          <w:tcPr>
            <w:tcW w:type="dxa" w:w="1944"/>
            <w:vAlign w:val="center"/>
            <w:tcMar>
              <w:top w:w="65" w:type="dxa"/>
              <w:bottom w:w="65" w:type="dxa"/>
              <w:left w:w="85" w:type="dxa"/>
              <w:right w:w="85" w:type="dxa"/>
            </w:tcMar>
            <w:shd w:fill="F0F4F7"/>
          </w:tcPr>
          <w:p>
            <w:pPr>
              <w:spacing w:after="0" w:line="240" w:lineRule="auto"/>
              <w:jc w:val="center"/>
            </w:pPr>
            <w:r>
              <w:rPr>
                <w:b w:val="0"/>
                <w:color w:val="000000"/>
                <w:sz w:val="20"/>
              </w:rPr>
              <w:t>4,930</w:t>
            </w:r>
          </w:p>
        </w:tc>
      </w:tr>
      <w:tr>
        <w:trPr>
          <w:cantSplit/>
        </w:trPr>
        <w:tc>
          <w:tcPr>
            <w:tcW w:type="dxa" w:w="3672"/>
            <w:vAlign w:val="center"/>
            <w:tcMar>
              <w:top w:w="65" w:type="dxa"/>
              <w:bottom w:w="65" w:type="dxa"/>
              <w:left w:w="85" w:type="dxa"/>
              <w:right w:w="85" w:type="dxa"/>
            </w:tcMar>
            <w:shd w:fill="FFFFFF"/>
          </w:tcPr>
          <w:p>
            <w:pPr>
              <w:spacing w:after="0" w:line="240" w:lineRule="auto"/>
              <w:jc w:val="left"/>
            </w:pPr>
            <w:r>
              <w:rPr>
                <w:b w:val="0"/>
                <w:color w:val="000000"/>
                <w:sz w:val="20"/>
              </w:rPr>
              <w:t>U gap 100% · Garden prices</w:t>
            </w:r>
          </w:p>
        </w:tc>
        <w:tc>
          <w:tcPr>
            <w:tcW w:type="dxa" w:w="1512"/>
            <w:vAlign w:val="center"/>
            <w:tcMar>
              <w:top w:w="65" w:type="dxa"/>
              <w:bottom w:w="65" w:type="dxa"/>
              <w:left w:w="85" w:type="dxa"/>
              <w:right w:w="85" w:type="dxa"/>
            </w:tcMar>
            <w:shd w:fill="FFFFFF"/>
          </w:tcPr>
          <w:p>
            <w:pPr>
              <w:spacing w:after="0" w:line="240" w:lineRule="auto"/>
              <w:jc w:val="center"/>
            </w:pPr>
            <w:r>
              <w:rPr>
                <w:b w:val="0"/>
                <w:color w:val="000000"/>
                <w:sz w:val="20"/>
              </w:rPr>
              <w:t>32.88%</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64,204</w:t>
            </w:r>
          </w:p>
        </w:tc>
        <w:tc>
          <w:tcPr>
            <w:tcW w:type="dxa" w:w="1656"/>
            <w:vAlign w:val="center"/>
            <w:tcMar>
              <w:top w:w="65" w:type="dxa"/>
              <w:bottom w:w="65" w:type="dxa"/>
              <w:left w:w="85" w:type="dxa"/>
              <w:right w:w="85" w:type="dxa"/>
            </w:tcMar>
            <w:shd w:fill="FFFFFF"/>
          </w:tcPr>
          <w:p>
            <w:pPr>
              <w:spacing w:after="0" w:line="240" w:lineRule="auto"/>
              <w:jc w:val="center"/>
            </w:pPr>
            <w:r>
              <w:rPr>
                <w:b w:val="0"/>
                <w:color w:val="000000"/>
                <w:sz w:val="20"/>
              </w:rPr>
              <w:t>17,410</w:t>
            </w:r>
          </w:p>
        </w:tc>
        <w:tc>
          <w:tcPr>
            <w:tcW w:type="dxa" w:w="1944"/>
            <w:vAlign w:val="center"/>
            <w:tcMar>
              <w:top w:w="65" w:type="dxa"/>
              <w:bottom w:w="65" w:type="dxa"/>
              <w:left w:w="85" w:type="dxa"/>
              <w:right w:w="85" w:type="dxa"/>
            </w:tcMar>
            <w:shd w:fill="FFFFFF"/>
          </w:tcPr>
          <w:p>
            <w:pPr>
              <w:spacing w:after="0" w:line="240" w:lineRule="auto"/>
              <w:jc w:val="center"/>
            </w:pPr>
            <w:r>
              <w:rPr>
                <w:b w:val="0"/>
                <w:color w:val="000000"/>
                <w:sz w:val="20"/>
              </w:rPr>
              <w:t>13,200</w:t>
            </w:r>
          </w:p>
        </w:tc>
      </w:tr>
      <w:tr>
        <w:trPr>
          <w:cantSplit/>
        </w:trPr>
        <w:tc>
          <w:tcPr>
            <w:tcW w:type="dxa" w:w="3672"/>
            <w:vAlign w:val="center"/>
            <w:tcMar>
              <w:top w:w="65" w:type="dxa"/>
              <w:bottom w:w="65" w:type="dxa"/>
              <w:left w:w="85" w:type="dxa"/>
              <w:right w:w="85" w:type="dxa"/>
            </w:tcMar>
            <w:shd w:fill="F0F4F7"/>
          </w:tcPr>
          <w:p>
            <w:pPr>
              <w:spacing w:after="0" w:line="240" w:lineRule="auto"/>
              <w:jc w:val="left"/>
            </w:pPr>
            <w:r>
              <w:rPr>
                <w:b w:val="0"/>
                <w:color w:val="000000"/>
                <w:sz w:val="20"/>
              </w:rPr>
              <w:t>H gap 25% · H prices</w:t>
            </w:r>
          </w:p>
        </w:tc>
        <w:tc>
          <w:tcPr>
            <w:tcW w:type="dxa" w:w="1512"/>
            <w:vAlign w:val="center"/>
            <w:tcMar>
              <w:top w:w="65" w:type="dxa"/>
              <w:bottom w:w="65" w:type="dxa"/>
              <w:left w:w="85" w:type="dxa"/>
              <w:right w:w="85" w:type="dxa"/>
            </w:tcMar>
            <w:shd w:fill="F0F4F7"/>
          </w:tcPr>
          <w:p>
            <w:pPr>
              <w:spacing w:after="0" w:line="240" w:lineRule="auto"/>
              <w:jc w:val="center"/>
            </w:pPr>
            <w:r>
              <w:rPr>
                <w:b w:val="0"/>
                <w:color w:val="000000"/>
                <w:sz w:val="20"/>
              </w:rPr>
              <w:t>7.52%</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55,761</w:t>
            </w:r>
          </w:p>
        </w:tc>
        <w:tc>
          <w:tcPr>
            <w:tcW w:type="dxa" w:w="1656"/>
            <w:vAlign w:val="center"/>
            <w:tcMar>
              <w:top w:w="65" w:type="dxa"/>
              <w:bottom w:w="65" w:type="dxa"/>
              <w:left w:w="85" w:type="dxa"/>
              <w:right w:w="85" w:type="dxa"/>
            </w:tcMar>
            <w:shd w:fill="F0F4F7"/>
          </w:tcPr>
          <w:p>
            <w:pPr>
              <w:spacing w:after="0" w:line="240" w:lineRule="auto"/>
              <w:jc w:val="center"/>
            </w:pPr>
            <w:r>
              <w:rPr>
                <w:b w:val="0"/>
                <w:color w:val="000000"/>
                <w:sz w:val="20"/>
              </w:rPr>
              <w:t>8,967</w:t>
            </w:r>
          </w:p>
        </w:tc>
        <w:tc>
          <w:tcPr>
            <w:tcW w:type="dxa" w:w="1944"/>
            <w:vAlign w:val="center"/>
            <w:tcMar>
              <w:top w:w="65" w:type="dxa"/>
              <w:bottom w:w="65" w:type="dxa"/>
              <w:left w:w="85" w:type="dxa"/>
              <w:right w:w="85" w:type="dxa"/>
            </w:tcMar>
            <w:shd w:fill="F0F4F7"/>
          </w:tcPr>
          <w:p>
            <w:pPr>
              <w:spacing w:after="0" w:line="240" w:lineRule="auto"/>
              <w:jc w:val="center"/>
            </w:pPr>
            <w:r>
              <w:rPr>
                <w:b w:val="0"/>
                <w:color w:val="000000"/>
                <w:sz w:val="20"/>
              </w:rPr>
              <w:t>5,179</w:t>
            </w:r>
          </w:p>
        </w:tc>
      </w:tr>
      <w:tr>
        <w:trPr>
          <w:cantSplit/>
        </w:trPr>
        <w:tc>
          <w:tcPr>
            <w:tcW w:type="dxa" w:w="3672"/>
            <w:vAlign w:val="center"/>
            <w:tcMar>
              <w:top w:w="65" w:type="dxa"/>
              <w:bottom w:w="65" w:type="dxa"/>
              <w:left w:w="85" w:type="dxa"/>
              <w:right w:w="85" w:type="dxa"/>
            </w:tcMar>
            <w:shd w:fill="FFFFFF"/>
          </w:tcPr>
          <w:p>
            <w:pPr>
              <w:spacing w:after="0" w:line="240" w:lineRule="auto"/>
              <w:jc w:val="left"/>
            </w:pPr>
            <w:r>
              <w:rPr>
                <w:b w:val="0"/>
                <w:color w:val="000000"/>
                <w:sz w:val="20"/>
              </w:rPr>
              <w:t>H gap 50% · H prices</w:t>
            </w:r>
          </w:p>
        </w:tc>
        <w:tc>
          <w:tcPr>
            <w:tcW w:type="dxa" w:w="1512"/>
            <w:vAlign w:val="center"/>
            <w:tcMar>
              <w:top w:w="65" w:type="dxa"/>
              <w:bottom w:w="65" w:type="dxa"/>
              <w:left w:w="85" w:type="dxa"/>
              <w:right w:w="85" w:type="dxa"/>
            </w:tcMar>
            <w:shd w:fill="FFFFFF"/>
          </w:tcPr>
          <w:p>
            <w:pPr>
              <w:spacing w:after="0" w:line="240" w:lineRule="auto"/>
              <w:jc w:val="center"/>
            </w:pPr>
            <w:r>
              <w:rPr>
                <w:b w:val="0"/>
                <w:color w:val="000000"/>
                <w:sz w:val="20"/>
              </w:rPr>
              <w:t>15.04%</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59,742</w:t>
            </w:r>
          </w:p>
        </w:tc>
        <w:tc>
          <w:tcPr>
            <w:tcW w:type="dxa" w:w="1656"/>
            <w:vAlign w:val="center"/>
            <w:tcMar>
              <w:top w:w="65" w:type="dxa"/>
              <w:bottom w:w="65" w:type="dxa"/>
              <w:left w:w="85" w:type="dxa"/>
              <w:right w:w="85" w:type="dxa"/>
            </w:tcMar>
            <w:shd w:fill="FFFFFF"/>
          </w:tcPr>
          <w:p>
            <w:pPr>
              <w:spacing w:after="0" w:line="240" w:lineRule="auto"/>
              <w:jc w:val="center"/>
            </w:pPr>
            <w:r>
              <w:rPr>
                <w:b w:val="0"/>
                <w:color w:val="000000"/>
                <w:sz w:val="20"/>
              </w:rPr>
              <w:t>12,948</w:t>
            </w:r>
          </w:p>
        </w:tc>
        <w:tc>
          <w:tcPr>
            <w:tcW w:type="dxa" w:w="1944"/>
            <w:vAlign w:val="center"/>
            <w:tcMar>
              <w:top w:w="65" w:type="dxa"/>
              <w:bottom w:w="65" w:type="dxa"/>
              <w:left w:w="85" w:type="dxa"/>
              <w:right w:w="85" w:type="dxa"/>
            </w:tcMar>
            <w:shd w:fill="FFFFFF"/>
          </w:tcPr>
          <w:p>
            <w:pPr>
              <w:spacing w:after="0" w:line="240" w:lineRule="auto"/>
              <w:jc w:val="center"/>
            </w:pPr>
            <w:r>
              <w:rPr>
                <w:b w:val="0"/>
                <w:color w:val="000000"/>
                <w:sz w:val="20"/>
              </w:rPr>
              <w:t>8,960</w:t>
            </w:r>
          </w:p>
        </w:tc>
      </w:tr>
      <w:tr>
        <w:trPr>
          <w:cantSplit/>
        </w:trPr>
        <w:tc>
          <w:tcPr>
            <w:tcW w:type="dxa" w:w="3672"/>
            <w:vAlign w:val="center"/>
            <w:tcMar>
              <w:top w:w="65" w:type="dxa"/>
              <w:bottom w:w="65" w:type="dxa"/>
              <w:left w:w="85" w:type="dxa"/>
              <w:right w:w="85" w:type="dxa"/>
            </w:tcMar>
            <w:shd w:fill="F0F4F7"/>
          </w:tcPr>
          <w:p>
            <w:pPr>
              <w:spacing w:after="0" w:line="240" w:lineRule="auto"/>
              <w:jc w:val="left"/>
            </w:pPr>
            <w:r>
              <w:rPr>
                <w:b w:val="0"/>
                <w:color w:val="000000"/>
                <w:sz w:val="20"/>
              </w:rPr>
              <w:t>H gap 100% · H prices</w:t>
            </w:r>
          </w:p>
        </w:tc>
        <w:tc>
          <w:tcPr>
            <w:tcW w:type="dxa" w:w="1512"/>
            <w:vAlign w:val="center"/>
            <w:tcMar>
              <w:top w:w="65" w:type="dxa"/>
              <w:bottom w:w="65" w:type="dxa"/>
              <w:left w:w="85" w:type="dxa"/>
              <w:right w:w="85" w:type="dxa"/>
            </w:tcMar>
            <w:shd w:fill="F0F4F7"/>
          </w:tcPr>
          <w:p>
            <w:pPr>
              <w:spacing w:after="0" w:line="240" w:lineRule="auto"/>
              <w:jc w:val="center"/>
            </w:pPr>
            <w:r>
              <w:rPr>
                <w:b w:val="0"/>
                <w:color w:val="000000"/>
                <w:sz w:val="20"/>
              </w:rPr>
              <w:t>30.07%</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67,704</w:t>
            </w:r>
          </w:p>
        </w:tc>
        <w:tc>
          <w:tcPr>
            <w:tcW w:type="dxa" w:w="1656"/>
            <w:vAlign w:val="center"/>
            <w:tcMar>
              <w:top w:w="65" w:type="dxa"/>
              <w:bottom w:w="65" w:type="dxa"/>
              <w:left w:w="85" w:type="dxa"/>
              <w:right w:w="85" w:type="dxa"/>
            </w:tcMar>
            <w:shd w:fill="F0F4F7"/>
          </w:tcPr>
          <w:p>
            <w:pPr>
              <w:spacing w:after="0" w:line="240" w:lineRule="auto"/>
              <w:jc w:val="center"/>
            </w:pPr>
            <w:r>
              <w:rPr>
                <w:b w:val="0"/>
                <w:color w:val="000000"/>
                <w:sz w:val="20"/>
              </w:rPr>
              <w:t>20,909</w:t>
            </w:r>
          </w:p>
        </w:tc>
        <w:tc>
          <w:tcPr>
            <w:tcW w:type="dxa" w:w="1944"/>
            <w:vAlign w:val="center"/>
            <w:tcMar>
              <w:top w:w="65" w:type="dxa"/>
              <w:bottom w:w="65" w:type="dxa"/>
              <w:left w:w="85" w:type="dxa"/>
              <w:right w:w="85" w:type="dxa"/>
            </w:tcMar>
            <w:shd w:fill="F0F4F7"/>
          </w:tcPr>
          <w:p>
            <w:pPr>
              <w:spacing w:after="0" w:line="240" w:lineRule="auto"/>
              <w:jc w:val="center"/>
            </w:pPr>
            <w:r>
              <w:rPr>
                <w:b w:val="0"/>
                <w:color w:val="000000"/>
                <w:sz w:val="20"/>
              </w:rPr>
              <w:t>16,524</w:t>
            </w:r>
          </w:p>
        </w:tc>
      </w:tr>
      <w:tr>
        <w:trPr>
          <w:cantSplit/>
        </w:trPr>
        <w:tc>
          <w:tcPr>
            <w:tcW w:type="dxa" w:w="3672"/>
            <w:vAlign w:val="center"/>
            <w:tcMar>
              <w:top w:w="65" w:type="dxa"/>
              <w:bottom w:w="65" w:type="dxa"/>
              <w:left w:w="85" w:type="dxa"/>
              <w:right w:w="85" w:type="dxa"/>
            </w:tcMar>
            <w:shd w:fill="FFFFFF"/>
          </w:tcPr>
          <w:p>
            <w:pPr>
              <w:spacing w:after="0" w:line="240" w:lineRule="auto"/>
              <w:jc w:val="left"/>
            </w:pPr>
            <w:r>
              <w:rPr>
                <w:b w:val="0"/>
                <w:color w:val="000000"/>
                <w:sz w:val="20"/>
              </w:rPr>
              <w:t>U gap 25% · U prices</w:t>
            </w:r>
          </w:p>
        </w:tc>
        <w:tc>
          <w:tcPr>
            <w:tcW w:type="dxa" w:w="1512"/>
            <w:vAlign w:val="center"/>
            <w:tcMar>
              <w:top w:w="65" w:type="dxa"/>
              <w:bottom w:w="65" w:type="dxa"/>
              <w:left w:w="85" w:type="dxa"/>
              <w:right w:w="85" w:type="dxa"/>
            </w:tcMar>
            <w:shd w:fill="FFFFFF"/>
          </w:tcPr>
          <w:p>
            <w:pPr>
              <w:spacing w:after="0" w:line="240" w:lineRule="auto"/>
              <w:jc w:val="center"/>
            </w:pPr>
            <w:r>
              <w:rPr>
                <w:b w:val="0"/>
                <w:color w:val="000000"/>
                <w:sz w:val="20"/>
              </w:rPr>
              <w:t>8.22%</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47,141</w:t>
            </w:r>
          </w:p>
        </w:tc>
        <w:tc>
          <w:tcPr>
            <w:tcW w:type="dxa" w:w="1656"/>
            <w:vAlign w:val="center"/>
            <w:tcMar>
              <w:top w:w="65" w:type="dxa"/>
              <w:bottom w:w="65" w:type="dxa"/>
              <w:left w:w="85" w:type="dxa"/>
              <w:right w:w="85" w:type="dxa"/>
            </w:tcMar>
            <w:shd w:fill="FFFFFF"/>
          </w:tcPr>
          <w:p>
            <w:pPr>
              <w:spacing w:after="0" w:line="240" w:lineRule="auto"/>
              <w:jc w:val="center"/>
            </w:pPr>
            <w:r>
              <w:rPr>
                <w:b w:val="0"/>
                <w:color w:val="000000"/>
                <w:sz w:val="20"/>
              </w:rPr>
              <w:t>347</w:t>
            </w:r>
          </w:p>
        </w:tc>
        <w:tc>
          <w:tcPr>
            <w:tcW w:type="dxa" w:w="1944"/>
            <w:vAlign w:val="center"/>
            <w:tcMar>
              <w:top w:w="65" w:type="dxa"/>
              <w:bottom w:w="65" w:type="dxa"/>
              <w:left w:w="85" w:type="dxa"/>
              <w:right w:w="85" w:type="dxa"/>
            </w:tcMar>
            <w:shd w:fill="FFFFFF"/>
          </w:tcPr>
          <w:p>
            <w:pPr>
              <w:spacing w:after="0" w:line="240" w:lineRule="auto"/>
              <w:jc w:val="center"/>
            </w:pPr>
            <w:r>
              <w:rPr>
                <w:b w:val="0"/>
                <w:color w:val="000000"/>
                <w:sz w:val="20"/>
              </w:rPr>
              <w:t>−3,010</w:t>
            </w:r>
          </w:p>
        </w:tc>
      </w:tr>
      <w:tr>
        <w:trPr>
          <w:cantSplit/>
        </w:trPr>
        <w:tc>
          <w:tcPr>
            <w:tcW w:type="dxa" w:w="3672"/>
            <w:vAlign w:val="center"/>
            <w:tcMar>
              <w:top w:w="65" w:type="dxa"/>
              <w:bottom w:w="65" w:type="dxa"/>
              <w:left w:w="85" w:type="dxa"/>
              <w:right w:w="85" w:type="dxa"/>
            </w:tcMar>
            <w:shd w:fill="F0F4F7"/>
          </w:tcPr>
          <w:p>
            <w:pPr>
              <w:spacing w:after="0" w:line="240" w:lineRule="auto"/>
              <w:jc w:val="left"/>
            </w:pPr>
            <w:r>
              <w:rPr>
                <w:b w:val="0"/>
                <w:color w:val="000000"/>
                <w:sz w:val="20"/>
              </w:rPr>
              <w:t>U gap 50% · U prices</w:t>
            </w:r>
          </w:p>
        </w:tc>
        <w:tc>
          <w:tcPr>
            <w:tcW w:type="dxa" w:w="1512"/>
            <w:vAlign w:val="center"/>
            <w:tcMar>
              <w:top w:w="65" w:type="dxa"/>
              <w:bottom w:w="65" w:type="dxa"/>
              <w:left w:w="85" w:type="dxa"/>
              <w:right w:w="85" w:type="dxa"/>
            </w:tcMar>
            <w:shd w:fill="F0F4F7"/>
          </w:tcPr>
          <w:p>
            <w:pPr>
              <w:spacing w:after="0" w:line="240" w:lineRule="auto"/>
              <w:jc w:val="center"/>
            </w:pPr>
            <w:r>
              <w:rPr>
                <w:b w:val="0"/>
                <w:color w:val="000000"/>
                <w:sz w:val="20"/>
              </w:rPr>
              <w:t>16.44%</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51,494</w:t>
            </w:r>
          </w:p>
        </w:tc>
        <w:tc>
          <w:tcPr>
            <w:tcW w:type="dxa" w:w="1656"/>
            <w:vAlign w:val="center"/>
            <w:tcMar>
              <w:top w:w="65" w:type="dxa"/>
              <w:bottom w:w="65" w:type="dxa"/>
              <w:left w:w="85" w:type="dxa"/>
              <w:right w:w="85" w:type="dxa"/>
            </w:tcMar>
            <w:shd w:fill="F0F4F7"/>
          </w:tcPr>
          <w:p>
            <w:pPr>
              <w:spacing w:after="0" w:line="240" w:lineRule="auto"/>
              <w:jc w:val="center"/>
            </w:pPr>
            <w:r>
              <w:rPr>
                <w:b w:val="0"/>
                <w:color w:val="000000"/>
                <w:sz w:val="20"/>
              </w:rPr>
              <w:t>4,699</w:t>
            </w:r>
          </w:p>
        </w:tc>
        <w:tc>
          <w:tcPr>
            <w:tcW w:type="dxa" w:w="1944"/>
            <w:vAlign w:val="center"/>
            <w:tcMar>
              <w:top w:w="65" w:type="dxa"/>
              <w:bottom w:w="65" w:type="dxa"/>
              <w:left w:w="85" w:type="dxa"/>
              <w:right w:w="85" w:type="dxa"/>
            </w:tcMar>
            <w:shd w:fill="F0F4F7"/>
          </w:tcPr>
          <w:p>
            <w:pPr>
              <w:spacing w:after="0" w:line="240" w:lineRule="auto"/>
              <w:jc w:val="center"/>
            </w:pPr>
            <w:r>
              <w:rPr>
                <w:b w:val="0"/>
                <w:color w:val="000000"/>
                <w:sz w:val="20"/>
              </w:rPr>
              <w:t>1,124</w:t>
            </w:r>
          </w:p>
        </w:tc>
      </w:tr>
      <w:tr>
        <w:trPr>
          <w:cantSplit/>
        </w:trPr>
        <w:tc>
          <w:tcPr>
            <w:tcW w:type="dxa" w:w="3672"/>
            <w:vAlign w:val="center"/>
            <w:tcMar>
              <w:top w:w="65" w:type="dxa"/>
              <w:bottom w:w="65" w:type="dxa"/>
              <w:left w:w="85" w:type="dxa"/>
              <w:right w:w="85" w:type="dxa"/>
            </w:tcMar>
            <w:shd w:fill="FFFFFF"/>
          </w:tcPr>
          <w:p>
            <w:pPr>
              <w:spacing w:after="0" w:line="240" w:lineRule="auto"/>
              <w:jc w:val="left"/>
            </w:pPr>
            <w:r>
              <w:rPr>
                <w:b w:val="0"/>
                <w:color w:val="000000"/>
                <w:sz w:val="20"/>
              </w:rPr>
              <w:t>U gap 100% · U prices</w:t>
            </w:r>
          </w:p>
        </w:tc>
        <w:tc>
          <w:tcPr>
            <w:tcW w:type="dxa" w:w="1512"/>
            <w:vAlign w:val="center"/>
            <w:tcMar>
              <w:top w:w="65" w:type="dxa"/>
              <w:bottom w:w="65" w:type="dxa"/>
              <w:left w:w="85" w:type="dxa"/>
              <w:right w:w="85" w:type="dxa"/>
            </w:tcMar>
            <w:shd w:fill="FFFFFF"/>
          </w:tcPr>
          <w:p>
            <w:pPr>
              <w:spacing w:after="0" w:line="240" w:lineRule="auto"/>
              <w:jc w:val="center"/>
            </w:pPr>
            <w:r>
              <w:rPr>
                <w:b w:val="0"/>
                <w:color w:val="000000"/>
                <w:sz w:val="20"/>
              </w:rPr>
              <w:t>32.88%</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60,199</w:t>
            </w:r>
          </w:p>
        </w:tc>
        <w:tc>
          <w:tcPr>
            <w:tcW w:type="dxa" w:w="1656"/>
            <w:vAlign w:val="center"/>
            <w:tcMar>
              <w:top w:w="65" w:type="dxa"/>
              <w:bottom w:w="65" w:type="dxa"/>
              <w:left w:w="85" w:type="dxa"/>
              <w:right w:w="85" w:type="dxa"/>
            </w:tcMar>
            <w:shd w:fill="FFFFFF"/>
          </w:tcPr>
          <w:p>
            <w:pPr>
              <w:spacing w:after="0" w:line="240" w:lineRule="auto"/>
              <w:jc w:val="center"/>
            </w:pPr>
            <w:r>
              <w:rPr>
                <w:b w:val="0"/>
                <w:color w:val="000000"/>
                <w:sz w:val="20"/>
              </w:rPr>
              <w:t>13,404</w:t>
            </w:r>
          </w:p>
        </w:tc>
        <w:tc>
          <w:tcPr>
            <w:tcW w:type="dxa" w:w="1944"/>
            <w:vAlign w:val="center"/>
            <w:tcMar>
              <w:top w:w="65" w:type="dxa"/>
              <w:bottom w:w="65" w:type="dxa"/>
              <w:left w:w="85" w:type="dxa"/>
              <w:right w:w="85" w:type="dxa"/>
            </w:tcMar>
            <w:shd w:fill="FFFFFF"/>
          </w:tcPr>
          <w:p>
            <w:pPr>
              <w:spacing w:after="0" w:line="240" w:lineRule="auto"/>
              <w:jc w:val="center"/>
            </w:pPr>
            <w:r>
              <w:rPr>
                <w:b w:val="0"/>
                <w:color w:val="000000"/>
                <w:sz w:val="20"/>
              </w:rPr>
              <w:t>9,394</w:t>
            </w:r>
          </w:p>
        </w:tc>
      </w:tr>
      <w:tr>
        <w:trPr>
          <w:cantSplit/>
        </w:trPr>
        <w:tc>
          <w:tcPr>
            <w:tcW w:type="dxa" w:w="3672"/>
            <w:vAlign w:val="center"/>
            <w:tcMar>
              <w:top w:w="65" w:type="dxa"/>
              <w:bottom w:w="65" w:type="dxa"/>
              <w:left w:w="85" w:type="dxa"/>
              <w:right w:w="85" w:type="dxa"/>
            </w:tcMar>
            <w:shd w:fill="F0F4F7"/>
          </w:tcPr>
          <w:p>
            <w:pPr>
              <w:spacing w:after="0" w:line="240" w:lineRule="auto"/>
              <w:jc w:val="left"/>
            </w:pPr>
            <w:r>
              <w:rPr>
                <w:b w:val="0"/>
                <w:color w:val="000000"/>
                <w:sz w:val="20"/>
              </w:rPr>
              <w:t>Remove recorded discounts</w:t>
            </w:r>
          </w:p>
        </w:tc>
        <w:tc>
          <w:tcPr>
            <w:tcW w:type="dxa" w:w="1512"/>
            <w:vAlign w:val="center"/>
            <w:tcMar>
              <w:top w:w="65" w:type="dxa"/>
              <w:bottom w:w="65" w:type="dxa"/>
              <w:left w:w="85" w:type="dxa"/>
              <w:right w:w="85" w:type="dxa"/>
            </w:tcMar>
            <w:shd w:fill="F0F4F7"/>
          </w:tcPr>
          <w:p>
            <w:pPr>
              <w:spacing w:after="0" w:line="240" w:lineRule="auto"/>
              <w:jc w:val="center"/>
            </w:pPr>
            <w:r>
              <w:rPr>
                <w:b w:val="0"/>
                <w:color w:val="000000"/>
                <w:sz w:val="20"/>
              </w:rPr>
              <w:t>0.00%</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47,350</w:t>
            </w:r>
          </w:p>
        </w:tc>
        <w:tc>
          <w:tcPr>
            <w:tcW w:type="dxa" w:w="1656"/>
            <w:vAlign w:val="center"/>
            <w:tcMar>
              <w:top w:w="65" w:type="dxa"/>
              <w:bottom w:w="65" w:type="dxa"/>
              <w:left w:w="85" w:type="dxa"/>
              <w:right w:w="85" w:type="dxa"/>
            </w:tcMar>
            <w:shd w:fill="F0F4F7"/>
          </w:tcPr>
          <w:p>
            <w:pPr>
              <w:spacing w:after="0" w:line="240" w:lineRule="auto"/>
              <w:jc w:val="center"/>
            </w:pPr>
            <w:r>
              <w:rPr>
                <w:b w:val="0"/>
                <w:color w:val="000000"/>
                <w:sz w:val="20"/>
              </w:rPr>
              <w:t>556</w:t>
            </w:r>
          </w:p>
        </w:tc>
        <w:tc>
          <w:tcPr>
            <w:tcW w:type="dxa" w:w="1944"/>
            <w:vAlign w:val="center"/>
            <w:tcMar>
              <w:top w:w="65" w:type="dxa"/>
              <w:bottom w:w="65" w:type="dxa"/>
              <w:left w:w="85" w:type="dxa"/>
              <w:right w:w="85" w:type="dxa"/>
            </w:tcMar>
            <w:shd w:fill="F0F4F7"/>
          </w:tcPr>
          <w:p>
            <w:pPr>
              <w:spacing w:after="0" w:line="240" w:lineRule="auto"/>
              <w:jc w:val="center"/>
            </w:pPr>
            <w:r>
              <w:rPr>
                <w:b w:val="0"/>
                <w:color w:val="000000"/>
                <w:sz w:val="20"/>
              </w:rPr>
              <w:t>−2,812</w:t>
            </w:r>
          </w:p>
        </w:tc>
      </w:tr>
    </w:tbl>
    <w:p>
      <w:pPr>
        <w:spacing w:after="0"/>
      </w:pPr>
    </w:p>
    <w:p>
      <w:r>
        <w:t>Do nothing is the observed comparator: v = 1, K = $0 and benefit = $0. Applying different v or K to its coefficients is a baseline stress calculation, not a separate action; therefore its adverse-action cell is left blank.</w:t>
      </w:r>
    </w:p>
    <w:p>
      <w:r>
        <w:t>At the same v and K, Harbour price matching exceeds 25% Harbour cost closure by $1,005.00 at unchanged volume, and by $954.75 at 95% volume. Uptown 25% cost closure also exceeds Harbour 25% closure by $371.58 at unchanged volume. The choice of cost benchmark must therefore depend on attainable, comparable supplier terms.</w:t>
      </w:r>
    </w:p>
    <w:p>
      <w:r>
        <w:t>The $555.90 discount-removal gain is a fixed-quantity benchmark. Sales, retention and product mix may change if discounts are removed; that response is unknown. It is not a proven recoverable cash amount or a universal ceiling on potential gains.</w:t>
      </w:r>
    </w:p>
    <w:p>
      <w:pPr>
        <w:pStyle w:val="Heading1"/>
        <w:pageBreakBefore/>
      </w:pPr>
      <w:r>
        <w:t>Break even volume and expense sensitivity</w:t>
      </w:r>
    </w:p>
    <w:p>
      <w:r>
        <w:t>Minimum quantities as a percentage of observed Garden volume. Equality means zero incremental benefit; a worthwhile action must exceed the threshold. Expense levels are explicitly hypothetical six-month totals, not budgets quoted by suppliers or estimated customer responses.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1584"/>
        <w:gridCol w:w="1584"/>
        <w:gridCol w:w="1584"/>
        <w:gridCol w:w="1584"/>
      </w:tblGrid>
      <w:tr>
        <w:trPr>
          <w:cantSplit/>
          <w:tblHeader/>
        </w:trPr>
        <w:tc>
          <w:tcPr>
            <w:tcW w:type="dxa" w:w="4032"/>
            <w:vAlign w:val="center"/>
            <w:tcMar>
              <w:top w:w="65" w:type="dxa"/>
              <w:bottom w:w="65" w:type="dxa"/>
              <w:left w:w="85" w:type="dxa"/>
              <w:right w:w="85" w:type="dxa"/>
            </w:tcMar>
            <w:shd w:fill="20384A"/>
          </w:tcPr>
          <w:p>
            <w:pPr>
              <w:spacing w:after="0" w:line="240" w:lineRule="auto"/>
              <w:jc w:val="left"/>
            </w:pPr>
            <w:r>
              <w:rPr>
                <w:b/>
                <w:color w:val="FFFFFF"/>
                <w:sz w:val="20"/>
              </w:rPr>
              <w:t>Action</w:t>
            </w:r>
          </w:p>
        </w:tc>
        <w:tc>
          <w:tcPr>
            <w:tcW w:type="dxa" w:w="1584"/>
            <w:vAlign w:val="center"/>
            <w:tcMar>
              <w:top w:w="65" w:type="dxa"/>
              <w:bottom w:w="65" w:type="dxa"/>
              <w:left w:w="85" w:type="dxa"/>
              <w:right w:w="85" w:type="dxa"/>
            </w:tcMar>
            <w:shd w:fill="20384A"/>
          </w:tcPr>
          <w:p>
            <w:pPr>
              <w:spacing w:after="0" w:line="240" w:lineRule="auto"/>
              <w:jc w:val="center"/>
            </w:pPr>
            <w:r>
              <w:rPr>
                <w:b/>
                <w:color w:val="FFFFFF"/>
                <w:sz w:val="20"/>
              </w:rPr>
              <w:t>K $0</w:t>
            </w:r>
          </w:p>
        </w:tc>
        <w:tc>
          <w:tcPr>
            <w:tcW w:type="dxa" w:w="1584"/>
            <w:vAlign w:val="center"/>
            <w:tcMar>
              <w:top w:w="65" w:type="dxa"/>
              <w:bottom w:w="65" w:type="dxa"/>
              <w:left w:w="85" w:type="dxa"/>
              <w:right w:w="85" w:type="dxa"/>
            </w:tcMar>
            <w:shd w:fill="20384A"/>
          </w:tcPr>
          <w:p>
            <w:pPr>
              <w:spacing w:after="0" w:line="240" w:lineRule="auto"/>
              <w:jc w:val="center"/>
            </w:pPr>
            <w:r>
              <w:rPr>
                <w:b/>
                <w:color w:val="FFFFFF"/>
                <w:sz w:val="20"/>
              </w:rPr>
              <w:t>K $1,000</w:t>
            </w:r>
          </w:p>
        </w:tc>
        <w:tc>
          <w:tcPr>
            <w:tcW w:type="dxa" w:w="1584"/>
            <w:vAlign w:val="center"/>
            <w:tcMar>
              <w:top w:w="65" w:type="dxa"/>
              <w:bottom w:w="65" w:type="dxa"/>
              <w:left w:w="85" w:type="dxa"/>
              <w:right w:w="85" w:type="dxa"/>
            </w:tcMar>
            <w:shd w:fill="20384A"/>
          </w:tcPr>
          <w:p>
            <w:pPr>
              <w:spacing w:after="0" w:line="240" w:lineRule="auto"/>
              <w:jc w:val="center"/>
            </w:pPr>
            <w:r>
              <w:rPr>
                <w:b/>
                <w:color w:val="FFFFFF"/>
                <w:sz w:val="20"/>
              </w:rPr>
              <w:t>K $2,500</w:t>
            </w:r>
          </w:p>
        </w:tc>
        <w:tc>
          <w:tcPr>
            <w:tcW w:type="dxa" w:w="1584"/>
            <w:vAlign w:val="center"/>
            <w:tcMar>
              <w:top w:w="65" w:type="dxa"/>
              <w:bottom w:w="65" w:type="dxa"/>
              <w:left w:w="85" w:type="dxa"/>
              <w:right w:w="85" w:type="dxa"/>
            </w:tcMar>
            <w:shd w:fill="20384A"/>
          </w:tcPr>
          <w:p>
            <w:pPr>
              <w:spacing w:after="0" w:line="240" w:lineRule="auto"/>
              <w:jc w:val="center"/>
            </w:pPr>
            <w:r>
              <w:rPr>
                <w:b/>
                <w:color w:val="FFFFFF"/>
                <w:sz w:val="20"/>
              </w:rPr>
              <w:t>K $5,000</w:t>
            </w:r>
          </w:p>
        </w:tc>
      </w:tr>
      <w:tr>
        <w:trPr>
          <w:cantSplit/>
        </w:trPr>
        <w:tc>
          <w:tcPr>
            <w:tcW w:type="dxa" w:w="4032"/>
            <w:vAlign w:val="center"/>
            <w:tcMar>
              <w:top w:w="65" w:type="dxa"/>
              <w:bottom w:w="65" w:type="dxa"/>
              <w:left w:w="85" w:type="dxa"/>
              <w:right w:w="85" w:type="dxa"/>
            </w:tcMar>
            <w:shd w:fill="FFFFFF"/>
          </w:tcPr>
          <w:p>
            <w:pPr>
              <w:spacing w:after="0" w:line="240" w:lineRule="auto"/>
              <w:jc w:val="left"/>
            </w:pPr>
            <w:r>
              <w:rPr>
                <w:b w:val="0"/>
                <w:color w:val="000000"/>
                <w:sz w:val="20"/>
              </w:rPr>
              <w:t>H prices only</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90.37%</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92.30%</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95.20%</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100.03%</w:t>
            </w:r>
          </w:p>
        </w:tc>
      </w:tr>
      <w:tr>
        <w:trPr>
          <w:cantSplit/>
        </w:trPr>
        <w:tc>
          <w:tcPr>
            <w:tcW w:type="dxa" w:w="4032"/>
            <w:vAlign w:val="center"/>
            <w:tcMar>
              <w:top w:w="65" w:type="dxa"/>
              <w:bottom w:w="65" w:type="dxa"/>
              <w:left w:w="85" w:type="dxa"/>
              <w:right w:w="85" w:type="dxa"/>
            </w:tcMar>
            <w:shd w:fill="F0F4F7"/>
          </w:tcPr>
          <w:p>
            <w:pPr>
              <w:spacing w:after="0" w:line="240" w:lineRule="auto"/>
              <w:jc w:val="left"/>
            </w:pPr>
            <w:r>
              <w:rPr>
                <w:b w:val="0"/>
                <w:color w:val="000000"/>
                <w:sz w:val="20"/>
              </w:rPr>
              <w:t>U prices only</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109.36%</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111.70%</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115.20%</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121.05%</w:t>
            </w:r>
          </w:p>
        </w:tc>
      </w:tr>
      <w:tr>
        <w:trPr>
          <w:cantSplit/>
        </w:trPr>
        <w:tc>
          <w:tcPr>
            <w:tcW w:type="dxa" w:w="4032"/>
            <w:vAlign w:val="center"/>
            <w:tcMar>
              <w:top w:w="65" w:type="dxa"/>
              <w:bottom w:w="65" w:type="dxa"/>
              <w:left w:w="85" w:type="dxa"/>
              <w:right w:w="85" w:type="dxa"/>
            </w:tcMar>
            <w:shd w:fill="FFFFFF"/>
          </w:tcPr>
          <w:p>
            <w:pPr>
              <w:spacing w:after="0" w:line="240" w:lineRule="auto"/>
              <w:jc w:val="left"/>
            </w:pPr>
            <w:r>
              <w:rPr>
                <w:b w:val="0"/>
                <w:color w:val="000000"/>
                <w:sz w:val="20"/>
              </w:rPr>
              <w:t>H gap 25% · Garden prices</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92.16%</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94.13%</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97.08%</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102.01%</w:t>
            </w:r>
          </w:p>
        </w:tc>
      </w:tr>
      <w:tr>
        <w:trPr>
          <w:cantSplit/>
        </w:trPr>
        <w:tc>
          <w:tcPr>
            <w:tcW w:type="dxa" w:w="4032"/>
            <w:vAlign w:val="center"/>
            <w:tcMar>
              <w:top w:w="65" w:type="dxa"/>
              <w:bottom w:w="65" w:type="dxa"/>
              <w:left w:w="85" w:type="dxa"/>
              <w:right w:w="85" w:type="dxa"/>
            </w:tcMar>
            <w:shd w:fill="F0F4F7"/>
          </w:tcPr>
          <w:p>
            <w:pPr>
              <w:spacing w:after="0" w:line="240" w:lineRule="auto"/>
              <w:jc w:val="left"/>
            </w:pPr>
            <w:r>
              <w:rPr>
                <w:b w:val="0"/>
                <w:color w:val="000000"/>
                <w:sz w:val="20"/>
              </w:rPr>
              <w:t>H gap 50% · Garden prices</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85.46%</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87.29%</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90.03%</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94.59%</w:t>
            </w:r>
          </w:p>
        </w:tc>
      </w:tr>
      <w:tr>
        <w:trPr>
          <w:cantSplit/>
        </w:trPr>
        <w:tc>
          <w:tcPr>
            <w:tcW w:type="dxa" w:w="4032"/>
            <w:vAlign w:val="center"/>
            <w:tcMar>
              <w:top w:w="65" w:type="dxa"/>
              <w:bottom w:w="65" w:type="dxa"/>
              <w:left w:w="85" w:type="dxa"/>
              <w:right w:w="85" w:type="dxa"/>
            </w:tcMar>
            <w:shd w:fill="FFFFFF"/>
          </w:tcPr>
          <w:p>
            <w:pPr>
              <w:spacing w:after="0" w:line="240" w:lineRule="auto"/>
              <w:jc w:val="left"/>
            </w:pPr>
            <w:r>
              <w:rPr>
                <w:b w:val="0"/>
                <w:color w:val="000000"/>
                <w:sz w:val="20"/>
              </w:rPr>
              <w:t>H gap 100% · Garden prices</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74.61%</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76.21%</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78.60%</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82.58%</w:t>
            </w:r>
          </w:p>
        </w:tc>
      </w:tr>
      <w:tr>
        <w:trPr>
          <w:cantSplit/>
        </w:trPr>
        <w:tc>
          <w:tcPr>
            <w:tcW w:type="dxa" w:w="4032"/>
            <w:vAlign w:val="center"/>
            <w:tcMar>
              <w:top w:w="65" w:type="dxa"/>
              <w:bottom w:w="65" w:type="dxa"/>
              <w:left w:w="85" w:type="dxa"/>
              <w:right w:w="85" w:type="dxa"/>
            </w:tcMar>
            <w:shd w:fill="F0F4F7"/>
          </w:tcPr>
          <w:p>
            <w:pPr>
              <w:spacing w:after="0" w:line="240" w:lineRule="auto"/>
              <w:jc w:val="left"/>
            </w:pPr>
            <w:r>
              <w:rPr>
                <w:b w:val="0"/>
                <w:color w:val="000000"/>
                <w:sz w:val="20"/>
              </w:rPr>
              <w:t>U gap 25% · Garden prices</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91.49%</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93.45%</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96.38%</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101.27%</w:t>
            </w:r>
          </w:p>
        </w:tc>
      </w:tr>
      <w:tr>
        <w:trPr>
          <w:cantSplit/>
        </w:trPr>
        <w:tc>
          <w:tcPr>
            <w:tcW w:type="dxa" w:w="4032"/>
            <w:vAlign w:val="center"/>
            <w:tcMar>
              <w:top w:w="65" w:type="dxa"/>
              <w:bottom w:w="65" w:type="dxa"/>
              <w:left w:w="85" w:type="dxa"/>
              <w:right w:w="85" w:type="dxa"/>
            </w:tcMar>
            <w:shd w:fill="FFFFFF"/>
          </w:tcPr>
          <w:p>
            <w:pPr>
              <w:spacing w:after="0" w:line="240" w:lineRule="auto"/>
              <w:jc w:val="left"/>
            </w:pPr>
            <w:r>
              <w:rPr>
                <w:b w:val="0"/>
                <w:color w:val="000000"/>
                <w:sz w:val="20"/>
              </w:rPr>
              <w:t>U gap 50% · Garden prices</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84.32%</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86.12%</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88.82%</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93.32%</w:t>
            </w:r>
          </w:p>
        </w:tc>
      </w:tr>
      <w:tr>
        <w:trPr>
          <w:cantSplit/>
        </w:trPr>
        <w:tc>
          <w:tcPr>
            <w:tcW w:type="dxa" w:w="4032"/>
            <w:vAlign w:val="center"/>
            <w:tcMar>
              <w:top w:w="65" w:type="dxa"/>
              <w:bottom w:w="65" w:type="dxa"/>
              <w:left w:w="85" w:type="dxa"/>
              <w:right w:w="85" w:type="dxa"/>
            </w:tcMar>
            <w:shd w:fill="F0F4F7"/>
          </w:tcPr>
          <w:p>
            <w:pPr>
              <w:spacing w:after="0" w:line="240" w:lineRule="auto"/>
              <w:jc w:val="left"/>
            </w:pPr>
            <w:r>
              <w:rPr>
                <w:b w:val="0"/>
                <w:color w:val="000000"/>
                <w:sz w:val="20"/>
              </w:rPr>
              <w:t>U gap 100% · Garden prices</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72.88%</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74.44%</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76.78%</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80.67%</w:t>
            </w:r>
          </w:p>
        </w:tc>
      </w:tr>
      <w:tr>
        <w:trPr>
          <w:cantSplit/>
        </w:trPr>
        <w:tc>
          <w:tcPr>
            <w:tcW w:type="dxa" w:w="4032"/>
            <w:vAlign w:val="center"/>
            <w:tcMar>
              <w:top w:w="65" w:type="dxa"/>
              <w:bottom w:w="65" w:type="dxa"/>
              <w:left w:w="85" w:type="dxa"/>
              <w:right w:w="85" w:type="dxa"/>
            </w:tcMar>
            <w:shd w:fill="FFFFFF"/>
          </w:tcPr>
          <w:p>
            <w:pPr>
              <w:spacing w:after="0" w:line="240" w:lineRule="auto"/>
              <w:jc w:val="left"/>
            </w:pPr>
            <w:r>
              <w:rPr>
                <w:b w:val="0"/>
                <w:color w:val="000000"/>
                <w:sz w:val="20"/>
              </w:rPr>
              <w:t>H gap 25% · H prices</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83.92%</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85.71%</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88.40%</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92.89%</w:t>
            </w:r>
          </w:p>
        </w:tc>
      </w:tr>
      <w:tr>
        <w:trPr>
          <w:cantSplit/>
        </w:trPr>
        <w:tc>
          <w:tcPr>
            <w:tcW w:type="dxa" w:w="4032"/>
            <w:vAlign w:val="center"/>
            <w:tcMar>
              <w:top w:w="65" w:type="dxa"/>
              <w:bottom w:w="65" w:type="dxa"/>
              <w:left w:w="85" w:type="dxa"/>
              <w:right w:w="85" w:type="dxa"/>
            </w:tcMar>
            <w:shd w:fill="F0F4F7"/>
          </w:tcPr>
          <w:p>
            <w:pPr>
              <w:spacing w:after="0" w:line="240" w:lineRule="auto"/>
              <w:jc w:val="left"/>
            </w:pPr>
            <w:r>
              <w:rPr>
                <w:b w:val="0"/>
                <w:color w:val="000000"/>
                <w:sz w:val="20"/>
              </w:rPr>
              <w:t>H gap 50% · H prices</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78.33%</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80.00%</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82.51%</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86.70%</w:t>
            </w:r>
          </w:p>
        </w:tc>
      </w:tr>
      <w:tr>
        <w:trPr>
          <w:cantSplit/>
        </w:trPr>
        <w:tc>
          <w:tcPr>
            <w:tcW w:type="dxa" w:w="4032"/>
            <w:vAlign w:val="center"/>
            <w:tcMar>
              <w:top w:w="65" w:type="dxa"/>
              <w:bottom w:w="65" w:type="dxa"/>
              <w:left w:w="85" w:type="dxa"/>
              <w:right w:w="85" w:type="dxa"/>
            </w:tcMar>
            <w:shd w:fill="FFFFFF"/>
          </w:tcPr>
          <w:p>
            <w:pPr>
              <w:spacing w:after="0" w:line="240" w:lineRule="auto"/>
              <w:jc w:val="left"/>
            </w:pPr>
            <w:r>
              <w:rPr>
                <w:b w:val="0"/>
                <w:color w:val="000000"/>
                <w:sz w:val="20"/>
              </w:rPr>
              <w:t>H gap 100% · H prices</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69.12%</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70.59%</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72.81%</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76.50%</w:t>
            </w:r>
          </w:p>
        </w:tc>
      </w:tr>
      <w:tr>
        <w:trPr>
          <w:cantSplit/>
        </w:trPr>
        <w:tc>
          <w:tcPr>
            <w:tcW w:type="dxa" w:w="4032"/>
            <w:vAlign w:val="center"/>
            <w:tcMar>
              <w:top w:w="65" w:type="dxa"/>
              <w:bottom w:w="65" w:type="dxa"/>
              <w:left w:w="85" w:type="dxa"/>
              <w:right w:w="85" w:type="dxa"/>
            </w:tcMar>
            <w:shd w:fill="F0F4F7"/>
          </w:tcPr>
          <w:p>
            <w:pPr>
              <w:spacing w:after="0" w:line="240" w:lineRule="auto"/>
              <w:jc w:val="left"/>
            </w:pPr>
            <w:r>
              <w:rPr>
                <w:b w:val="0"/>
                <w:color w:val="000000"/>
                <w:sz w:val="20"/>
              </w:rPr>
              <w:t>U gap 25% · U prices</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99.26%</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101.39%</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104.57%</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109.87%</w:t>
            </w:r>
          </w:p>
        </w:tc>
      </w:tr>
      <w:tr>
        <w:trPr>
          <w:cantSplit/>
        </w:trPr>
        <w:tc>
          <w:tcPr>
            <w:tcW w:type="dxa" w:w="4032"/>
            <w:vAlign w:val="center"/>
            <w:tcMar>
              <w:top w:w="65" w:type="dxa"/>
              <w:bottom w:w="65" w:type="dxa"/>
              <w:left w:w="85" w:type="dxa"/>
              <w:right w:w="85" w:type="dxa"/>
            </w:tcMar>
            <w:shd w:fill="FFFFFF"/>
          </w:tcPr>
          <w:p>
            <w:pPr>
              <w:spacing w:after="0" w:line="240" w:lineRule="auto"/>
              <w:jc w:val="left"/>
            </w:pPr>
            <w:r>
              <w:rPr>
                <w:b w:val="0"/>
                <w:color w:val="000000"/>
                <w:sz w:val="20"/>
              </w:rPr>
              <w:t>U gap 50% · U prices</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90.87%</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92.82%</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95.73%</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100.58%</w:t>
            </w:r>
          </w:p>
        </w:tc>
      </w:tr>
      <w:tr>
        <w:trPr>
          <w:cantSplit/>
        </w:trPr>
        <w:tc>
          <w:tcPr>
            <w:tcW w:type="dxa" w:w="4032"/>
            <w:vAlign w:val="center"/>
            <w:tcMar>
              <w:top w:w="65" w:type="dxa"/>
              <w:bottom w:w="65" w:type="dxa"/>
              <w:left w:w="85" w:type="dxa"/>
              <w:right w:w="85" w:type="dxa"/>
            </w:tcMar>
            <w:shd w:fill="F0F4F7"/>
          </w:tcPr>
          <w:p>
            <w:pPr>
              <w:spacing w:after="0" w:line="240" w:lineRule="auto"/>
              <w:jc w:val="left"/>
            </w:pPr>
            <w:r>
              <w:rPr>
                <w:b w:val="0"/>
                <w:color w:val="000000"/>
                <w:sz w:val="20"/>
              </w:rPr>
              <w:t>U gap 100% · U prices</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77.73%</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79.39%</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81.89%</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86.04%</w:t>
            </w:r>
          </w:p>
        </w:tc>
      </w:tr>
      <w:tr>
        <w:trPr>
          <w:cantSplit/>
        </w:trPr>
        <w:tc>
          <w:tcPr>
            <w:tcW w:type="dxa" w:w="4032"/>
            <w:vAlign w:val="center"/>
            <w:tcMar>
              <w:top w:w="65" w:type="dxa"/>
              <w:bottom w:w="65" w:type="dxa"/>
              <w:left w:w="85" w:type="dxa"/>
              <w:right w:w="85" w:type="dxa"/>
            </w:tcMar>
            <w:shd w:fill="FFFFFF"/>
          </w:tcPr>
          <w:p>
            <w:pPr>
              <w:spacing w:after="0" w:line="240" w:lineRule="auto"/>
              <w:jc w:val="left"/>
            </w:pPr>
            <w:r>
              <w:rPr>
                <w:b w:val="0"/>
                <w:color w:val="000000"/>
                <w:sz w:val="20"/>
              </w:rPr>
              <w:t>Remove recorded discounts</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98.83%</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100.94%</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104.11%</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109.39%</w:t>
            </w:r>
          </w:p>
        </w:tc>
      </w:tr>
    </w:tbl>
    <w:p>
      <w:pPr>
        <w:spacing w:after="0"/>
      </w:pPr>
    </w:p>
    <w:p>
      <w:pPr>
        <w:pStyle w:val="Heading2"/>
      </w:pPr>
      <w:r>
        <w:t>Harbour 25 percent cost closure stress test</w:t>
      </w:r>
    </w:p>
    <w:p>
      <w:r>
        <w:t>Incremental benefit in USD. These volume levels are hypothetical quantities, with mix and unit economics fixed. Every cell uses the same Gₛ = $50,775.3575.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88"/>
        <w:gridCol w:w="2088"/>
        <w:gridCol w:w="2088"/>
        <w:gridCol w:w="2088"/>
      </w:tblGrid>
      <w:tr>
        <w:trPr>
          <w:cantSplit/>
          <w:tblHeader/>
        </w:trPr>
        <w:tc>
          <w:tcPr>
            <w:tcW w:type="dxa" w:w="2016"/>
            <w:vAlign w:val="center"/>
            <w:tcMar>
              <w:top w:w="65" w:type="dxa"/>
              <w:bottom w:w="65" w:type="dxa"/>
              <w:left w:w="85" w:type="dxa"/>
              <w:right w:w="85" w:type="dxa"/>
            </w:tcMar>
            <w:shd w:fill="20384A"/>
          </w:tcPr>
          <w:p>
            <w:pPr>
              <w:spacing w:after="0" w:line="240" w:lineRule="auto"/>
              <w:jc w:val="left"/>
            </w:pPr>
            <w:r>
              <w:rPr>
                <w:b/>
                <w:color w:val="FFFFFF"/>
                <w:sz w:val="20"/>
              </w:rPr>
              <w:t>Volume v</w:t>
            </w:r>
          </w:p>
        </w:tc>
        <w:tc>
          <w:tcPr>
            <w:tcW w:type="dxa" w:w="2088"/>
            <w:vAlign w:val="center"/>
            <w:tcMar>
              <w:top w:w="65" w:type="dxa"/>
              <w:bottom w:w="65" w:type="dxa"/>
              <w:left w:w="85" w:type="dxa"/>
              <w:right w:w="85" w:type="dxa"/>
            </w:tcMar>
            <w:shd w:fill="20384A"/>
          </w:tcPr>
          <w:p>
            <w:pPr>
              <w:spacing w:after="0" w:line="240" w:lineRule="auto"/>
              <w:jc w:val="center"/>
            </w:pPr>
            <w:r>
              <w:rPr>
                <w:b/>
                <w:color w:val="FFFFFF"/>
                <w:sz w:val="20"/>
              </w:rPr>
              <w:t>K $0</w:t>
            </w:r>
          </w:p>
        </w:tc>
        <w:tc>
          <w:tcPr>
            <w:tcW w:type="dxa" w:w="2088"/>
            <w:vAlign w:val="center"/>
            <w:tcMar>
              <w:top w:w="65" w:type="dxa"/>
              <w:bottom w:w="65" w:type="dxa"/>
              <w:left w:w="85" w:type="dxa"/>
              <w:right w:w="85" w:type="dxa"/>
            </w:tcMar>
            <w:shd w:fill="20384A"/>
          </w:tcPr>
          <w:p>
            <w:pPr>
              <w:spacing w:after="0" w:line="240" w:lineRule="auto"/>
              <w:jc w:val="center"/>
            </w:pPr>
            <w:r>
              <w:rPr>
                <w:b/>
                <w:color w:val="FFFFFF"/>
                <w:sz w:val="20"/>
              </w:rPr>
              <w:t>K $1,000</w:t>
            </w:r>
          </w:p>
        </w:tc>
        <w:tc>
          <w:tcPr>
            <w:tcW w:type="dxa" w:w="2088"/>
            <w:vAlign w:val="center"/>
            <w:tcMar>
              <w:top w:w="65" w:type="dxa"/>
              <w:bottom w:w="65" w:type="dxa"/>
              <w:left w:w="85" w:type="dxa"/>
              <w:right w:w="85" w:type="dxa"/>
            </w:tcMar>
            <w:shd w:fill="20384A"/>
          </w:tcPr>
          <w:p>
            <w:pPr>
              <w:spacing w:after="0" w:line="240" w:lineRule="auto"/>
              <w:jc w:val="center"/>
            </w:pPr>
            <w:r>
              <w:rPr>
                <w:b/>
                <w:color w:val="FFFFFF"/>
                <w:sz w:val="20"/>
              </w:rPr>
              <w:t>K $2,500</w:t>
            </w:r>
          </w:p>
        </w:tc>
        <w:tc>
          <w:tcPr>
            <w:tcW w:type="dxa" w:w="2088"/>
            <w:vAlign w:val="center"/>
            <w:tcMar>
              <w:top w:w="65" w:type="dxa"/>
              <w:bottom w:w="65" w:type="dxa"/>
              <w:left w:w="85" w:type="dxa"/>
              <w:right w:w="85" w:type="dxa"/>
            </w:tcMar>
            <w:shd w:fill="20384A"/>
          </w:tcPr>
          <w:p>
            <w:pPr>
              <w:spacing w:after="0" w:line="240" w:lineRule="auto"/>
              <w:jc w:val="center"/>
            </w:pPr>
            <w:r>
              <w:rPr>
                <w:b/>
                <w:color w:val="FFFFFF"/>
                <w:sz w:val="20"/>
              </w:rPr>
              <w:t>K $5,000</w:t>
            </w:r>
          </w:p>
        </w:tc>
      </w:tr>
      <w:tr>
        <w:trPr>
          <w:cantSplit/>
        </w:trPr>
        <w:tc>
          <w:tcPr>
            <w:tcW w:type="dxa" w:w="2016"/>
            <w:vAlign w:val="center"/>
            <w:tcMar>
              <w:top w:w="65" w:type="dxa"/>
              <w:bottom w:w="65" w:type="dxa"/>
              <w:left w:w="85" w:type="dxa"/>
              <w:right w:w="85" w:type="dxa"/>
            </w:tcMar>
            <w:shd w:fill="FFFFFF"/>
          </w:tcPr>
          <w:p>
            <w:pPr>
              <w:spacing w:after="0" w:line="240" w:lineRule="auto"/>
              <w:jc w:val="left"/>
            </w:pPr>
            <w:r>
              <w:rPr>
                <w:b w:val="0"/>
                <w:color w:val="000000"/>
                <w:sz w:val="20"/>
              </w:rPr>
              <w:t>85.00%</w:t>
            </w:r>
          </w:p>
        </w:tc>
        <w:tc>
          <w:tcPr>
            <w:tcW w:type="dxa" w:w="2088"/>
            <w:vAlign w:val="center"/>
            <w:tcMar>
              <w:top w:w="65" w:type="dxa"/>
              <w:bottom w:w="65" w:type="dxa"/>
              <w:left w:w="85" w:type="dxa"/>
              <w:right w:w="85" w:type="dxa"/>
            </w:tcMar>
            <w:shd w:fill="FFFFFF"/>
          </w:tcPr>
          <w:p>
            <w:pPr>
              <w:spacing w:after="0" w:line="240" w:lineRule="auto"/>
              <w:jc w:val="center"/>
            </w:pPr>
            <w:r>
              <w:rPr>
                <w:b w:val="0"/>
                <w:color w:val="000000"/>
                <w:sz w:val="20"/>
              </w:rPr>
              <w:t>−3,635</w:t>
            </w:r>
          </w:p>
        </w:tc>
        <w:tc>
          <w:tcPr>
            <w:tcW w:type="dxa" w:w="2088"/>
            <w:vAlign w:val="center"/>
            <w:tcMar>
              <w:top w:w="65" w:type="dxa"/>
              <w:bottom w:w="65" w:type="dxa"/>
              <w:left w:w="85" w:type="dxa"/>
              <w:right w:w="85" w:type="dxa"/>
            </w:tcMar>
            <w:shd w:fill="FFFFFF"/>
          </w:tcPr>
          <w:p>
            <w:pPr>
              <w:spacing w:after="0" w:line="240" w:lineRule="auto"/>
              <w:jc w:val="center"/>
            </w:pPr>
            <w:r>
              <w:rPr>
                <w:b w:val="0"/>
                <w:color w:val="000000"/>
                <w:sz w:val="20"/>
              </w:rPr>
              <w:t>−4,635</w:t>
            </w:r>
          </w:p>
        </w:tc>
        <w:tc>
          <w:tcPr>
            <w:tcW w:type="dxa" w:w="2088"/>
            <w:vAlign w:val="center"/>
            <w:tcMar>
              <w:top w:w="65" w:type="dxa"/>
              <w:bottom w:w="65" w:type="dxa"/>
              <w:left w:w="85" w:type="dxa"/>
              <w:right w:w="85" w:type="dxa"/>
            </w:tcMar>
            <w:shd w:fill="FFFFFF"/>
          </w:tcPr>
          <w:p>
            <w:pPr>
              <w:spacing w:after="0" w:line="240" w:lineRule="auto"/>
              <w:jc w:val="center"/>
            </w:pPr>
            <w:r>
              <w:rPr>
                <w:b w:val="0"/>
                <w:color w:val="000000"/>
                <w:sz w:val="20"/>
              </w:rPr>
              <w:t>−6,135</w:t>
            </w:r>
          </w:p>
        </w:tc>
        <w:tc>
          <w:tcPr>
            <w:tcW w:type="dxa" w:w="2088"/>
            <w:vAlign w:val="center"/>
            <w:tcMar>
              <w:top w:w="65" w:type="dxa"/>
              <w:bottom w:w="65" w:type="dxa"/>
              <w:left w:w="85" w:type="dxa"/>
              <w:right w:w="85" w:type="dxa"/>
            </w:tcMar>
            <w:shd w:fill="FFFFFF"/>
          </w:tcPr>
          <w:p>
            <w:pPr>
              <w:spacing w:after="0" w:line="240" w:lineRule="auto"/>
              <w:jc w:val="center"/>
            </w:pPr>
            <w:r>
              <w:rPr>
                <w:b w:val="0"/>
                <w:color w:val="000000"/>
                <w:sz w:val="20"/>
              </w:rPr>
              <w:t>−8,635</w:t>
            </w:r>
          </w:p>
        </w:tc>
      </w:tr>
      <w:tr>
        <w:trPr>
          <w:cantSplit/>
        </w:trPr>
        <w:tc>
          <w:tcPr>
            <w:tcW w:type="dxa" w:w="2016"/>
            <w:vAlign w:val="center"/>
            <w:tcMar>
              <w:top w:w="65" w:type="dxa"/>
              <w:bottom w:w="65" w:type="dxa"/>
              <w:left w:w="85" w:type="dxa"/>
              <w:right w:w="85" w:type="dxa"/>
            </w:tcMar>
            <w:shd w:fill="F0F4F7"/>
          </w:tcPr>
          <w:p>
            <w:pPr>
              <w:spacing w:after="0" w:line="240" w:lineRule="auto"/>
              <w:jc w:val="left"/>
            </w:pPr>
            <w:r>
              <w:rPr>
                <w:b w:val="0"/>
                <w:color w:val="000000"/>
                <w:sz w:val="20"/>
              </w:rPr>
              <w:t>90.00%</w:t>
            </w:r>
          </w:p>
        </w:tc>
        <w:tc>
          <w:tcPr>
            <w:tcW w:type="dxa" w:w="2088"/>
            <w:vAlign w:val="center"/>
            <w:tcMar>
              <w:top w:w="65" w:type="dxa"/>
              <w:bottom w:w="65" w:type="dxa"/>
              <w:left w:w="85" w:type="dxa"/>
              <w:right w:w="85" w:type="dxa"/>
            </w:tcMar>
            <w:shd w:fill="F0F4F7"/>
          </w:tcPr>
          <w:p>
            <w:pPr>
              <w:spacing w:after="0" w:line="240" w:lineRule="auto"/>
              <w:jc w:val="center"/>
            </w:pPr>
            <w:r>
              <w:rPr>
                <w:b w:val="0"/>
                <w:color w:val="000000"/>
                <w:sz w:val="20"/>
              </w:rPr>
              <w:t>−1,097</w:t>
            </w:r>
          </w:p>
        </w:tc>
        <w:tc>
          <w:tcPr>
            <w:tcW w:type="dxa" w:w="2088"/>
            <w:vAlign w:val="center"/>
            <w:tcMar>
              <w:top w:w="65" w:type="dxa"/>
              <w:bottom w:w="65" w:type="dxa"/>
              <w:left w:w="85" w:type="dxa"/>
              <w:right w:w="85" w:type="dxa"/>
            </w:tcMar>
            <w:shd w:fill="F0F4F7"/>
          </w:tcPr>
          <w:p>
            <w:pPr>
              <w:spacing w:after="0" w:line="240" w:lineRule="auto"/>
              <w:jc w:val="center"/>
            </w:pPr>
            <w:r>
              <w:rPr>
                <w:b w:val="0"/>
                <w:color w:val="000000"/>
                <w:sz w:val="20"/>
              </w:rPr>
              <w:t>−2,097</w:t>
            </w:r>
          </w:p>
        </w:tc>
        <w:tc>
          <w:tcPr>
            <w:tcW w:type="dxa" w:w="2088"/>
            <w:vAlign w:val="center"/>
            <w:tcMar>
              <w:top w:w="65" w:type="dxa"/>
              <w:bottom w:w="65" w:type="dxa"/>
              <w:left w:w="85" w:type="dxa"/>
              <w:right w:w="85" w:type="dxa"/>
            </w:tcMar>
            <w:shd w:fill="F0F4F7"/>
          </w:tcPr>
          <w:p>
            <w:pPr>
              <w:spacing w:after="0" w:line="240" w:lineRule="auto"/>
              <w:jc w:val="center"/>
            </w:pPr>
            <w:r>
              <w:rPr>
                <w:b w:val="0"/>
                <w:color w:val="000000"/>
                <w:sz w:val="20"/>
              </w:rPr>
              <w:t>−3,597</w:t>
            </w:r>
          </w:p>
        </w:tc>
        <w:tc>
          <w:tcPr>
            <w:tcW w:type="dxa" w:w="2088"/>
            <w:vAlign w:val="center"/>
            <w:tcMar>
              <w:top w:w="65" w:type="dxa"/>
              <w:bottom w:w="65" w:type="dxa"/>
              <w:left w:w="85" w:type="dxa"/>
              <w:right w:w="85" w:type="dxa"/>
            </w:tcMar>
            <w:shd w:fill="F0F4F7"/>
          </w:tcPr>
          <w:p>
            <w:pPr>
              <w:spacing w:after="0" w:line="240" w:lineRule="auto"/>
              <w:jc w:val="center"/>
            </w:pPr>
            <w:r>
              <w:rPr>
                <w:b w:val="0"/>
                <w:color w:val="000000"/>
                <w:sz w:val="20"/>
              </w:rPr>
              <w:t>−6,097</w:t>
            </w:r>
          </w:p>
        </w:tc>
      </w:tr>
      <w:tr>
        <w:trPr>
          <w:cantSplit/>
        </w:trPr>
        <w:tc>
          <w:tcPr>
            <w:tcW w:type="dxa" w:w="2016"/>
            <w:vAlign w:val="center"/>
            <w:tcMar>
              <w:top w:w="65" w:type="dxa"/>
              <w:bottom w:w="65" w:type="dxa"/>
              <w:left w:w="85" w:type="dxa"/>
              <w:right w:w="85" w:type="dxa"/>
            </w:tcMar>
            <w:shd w:fill="FFFFFF"/>
          </w:tcPr>
          <w:p>
            <w:pPr>
              <w:spacing w:after="0" w:line="240" w:lineRule="auto"/>
              <w:jc w:val="left"/>
            </w:pPr>
            <w:r>
              <w:rPr>
                <w:b w:val="0"/>
                <w:color w:val="000000"/>
                <w:sz w:val="20"/>
              </w:rPr>
              <w:t>95.00%</w:t>
            </w:r>
          </w:p>
        </w:tc>
        <w:tc>
          <w:tcPr>
            <w:tcW w:type="dxa" w:w="2088"/>
            <w:vAlign w:val="center"/>
            <w:tcMar>
              <w:top w:w="65" w:type="dxa"/>
              <w:bottom w:w="65" w:type="dxa"/>
              <w:left w:w="85" w:type="dxa"/>
              <w:right w:w="85" w:type="dxa"/>
            </w:tcMar>
            <w:shd w:fill="FFFFFF"/>
          </w:tcPr>
          <w:p>
            <w:pPr>
              <w:spacing w:after="0" w:line="240" w:lineRule="auto"/>
              <w:jc w:val="center"/>
            </w:pPr>
            <w:r>
              <w:rPr>
                <w:b w:val="0"/>
                <w:color w:val="000000"/>
                <w:sz w:val="20"/>
              </w:rPr>
              <w:t>1,442</w:t>
            </w:r>
          </w:p>
        </w:tc>
        <w:tc>
          <w:tcPr>
            <w:tcW w:type="dxa" w:w="2088"/>
            <w:vAlign w:val="center"/>
            <w:tcMar>
              <w:top w:w="65" w:type="dxa"/>
              <w:bottom w:w="65" w:type="dxa"/>
              <w:left w:w="85" w:type="dxa"/>
              <w:right w:w="85" w:type="dxa"/>
            </w:tcMar>
            <w:shd w:fill="FFFFFF"/>
          </w:tcPr>
          <w:p>
            <w:pPr>
              <w:spacing w:after="0" w:line="240" w:lineRule="auto"/>
              <w:jc w:val="center"/>
            </w:pPr>
            <w:r>
              <w:rPr>
                <w:b w:val="0"/>
                <w:color w:val="000000"/>
                <w:sz w:val="20"/>
              </w:rPr>
              <w:t>442</w:t>
            </w:r>
          </w:p>
        </w:tc>
        <w:tc>
          <w:tcPr>
            <w:tcW w:type="dxa" w:w="2088"/>
            <w:vAlign w:val="center"/>
            <w:tcMar>
              <w:top w:w="65" w:type="dxa"/>
              <w:bottom w:w="65" w:type="dxa"/>
              <w:left w:w="85" w:type="dxa"/>
              <w:right w:w="85" w:type="dxa"/>
            </w:tcMar>
            <w:shd w:fill="FFFFFF"/>
          </w:tcPr>
          <w:p>
            <w:pPr>
              <w:spacing w:after="0" w:line="240" w:lineRule="auto"/>
              <w:jc w:val="center"/>
            </w:pPr>
            <w:r>
              <w:rPr>
                <w:b w:val="0"/>
                <w:color w:val="000000"/>
                <w:sz w:val="20"/>
              </w:rPr>
              <w:t>−1,058</w:t>
            </w:r>
          </w:p>
        </w:tc>
        <w:tc>
          <w:tcPr>
            <w:tcW w:type="dxa" w:w="2088"/>
            <w:vAlign w:val="center"/>
            <w:tcMar>
              <w:top w:w="65" w:type="dxa"/>
              <w:bottom w:w="65" w:type="dxa"/>
              <w:left w:w="85" w:type="dxa"/>
              <w:right w:w="85" w:type="dxa"/>
            </w:tcMar>
            <w:shd w:fill="FFFFFF"/>
          </w:tcPr>
          <w:p>
            <w:pPr>
              <w:spacing w:after="0" w:line="240" w:lineRule="auto"/>
              <w:jc w:val="center"/>
            </w:pPr>
            <w:r>
              <w:rPr>
                <w:b w:val="0"/>
                <w:color w:val="000000"/>
                <w:sz w:val="20"/>
              </w:rPr>
              <w:t>−3,558</w:t>
            </w:r>
          </w:p>
        </w:tc>
      </w:tr>
      <w:tr>
        <w:trPr>
          <w:cantSplit/>
        </w:trPr>
        <w:tc>
          <w:tcPr>
            <w:tcW w:type="dxa" w:w="2016"/>
            <w:vAlign w:val="center"/>
            <w:tcMar>
              <w:top w:w="65" w:type="dxa"/>
              <w:bottom w:w="65" w:type="dxa"/>
              <w:left w:w="85" w:type="dxa"/>
              <w:right w:w="85" w:type="dxa"/>
            </w:tcMar>
            <w:shd w:fill="F0F4F7"/>
          </w:tcPr>
          <w:p>
            <w:pPr>
              <w:spacing w:after="0" w:line="240" w:lineRule="auto"/>
              <w:jc w:val="left"/>
            </w:pPr>
            <w:r>
              <w:rPr>
                <w:b w:val="0"/>
                <w:color w:val="000000"/>
                <w:sz w:val="20"/>
              </w:rPr>
              <w:t>100.00%</w:t>
            </w:r>
          </w:p>
        </w:tc>
        <w:tc>
          <w:tcPr>
            <w:tcW w:type="dxa" w:w="2088"/>
            <w:vAlign w:val="center"/>
            <w:tcMar>
              <w:top w:w="65" w:type="dxa"/>
              <w:bottom w:w="65" w:type="dxa"/>
              <w:left w:w="85" w:type="dxa"/>
              <w:right w:w="85" w:type="dxa"/>
            </w:tcMar>
            <w:shd w:fill="F0F4F7"/>
          </w:tcPr>
          <w:p>
            <w:pPr>
              <w:spacing w:after="0" w:line="240" w:lineRule="auto"/>
              <w:jc w:val="center"/>
            </w:pPr>
            <w:r>
              <w:rPr>
                <w:b w:val="0"/>
                <w:color w:val="000000"/>
                <w:sz w:val="20"/>
              </w:rPr>
              <w:t>3,981</w:t>
            </w:r>
          </w:p>
        </w:tc>
        <w:tc>
          <w:tcPr>
            <w:tcW w:type="dxa" w:w="2088"/>
            <w:vAlign w:val="center"/>
            <w:tcMar>
              <w:top w:w="65" w:type="dxa"/>
              <w:bottom w:w="65" w:type="dxa"/>
              <w:left w:w="85" w:type="dxa"/>
              <w:right w:w="85" w:type="dxa"/>
            </w:tcMar>
            <w:shd w:fill="F0F4F7"/>
          </w:tcPr>
          <w:p>
            <w:pPr>
              <w:spacing w:after="0" w:line="240" w:lineRule="auto"/>
              <w:jc w:val="center"/>
            </w:pPr>
            <w:r>
              <w:rPr>
                <w:b w:val="0"/>
                <w:color w:val="000000"/>
                <w:sz w:val="20"/>
              </w:rPr>
              <w:t>2,981</w:t>
            </w:r>
          </w:p>
        </w:tc>
        <w:tc>
          <w:tcPr>
            <w:tcW w:type="dxa" w:w="2088"/>
            <w:vAlign w:val="center"/>
            <w:tcMar>
              <w:top w:w="65" w:type="dxa"/>
              <w:bottom w:w="65" w:type="dxa"/>
              <w:left w:w="85" w:type="dxa"/>
              <w:right w:w="85" w:type="dxa"/>
            </w:tcMar>
            <w:shd w:fill="F0F4F7"/>
          </w:tcPr>
          <w:p>
            <w:pPr>
              <w:spacing w:after="0" w:line="240" w:lineRule="auto"/>
              <w:jc w:val="center"/>
            </w:pPr>
            <w:r>
              <w:rPr>
                <w:b w:val="0"/>
                <w:color w:val="000000"/>
                <w:sz w:val="20"/>
              </w:rPr>
              <w:t>1,481</w:t>
            </w:r>
          </w:p>
        </w:tc>
        <w:tc>
          <w:tcPr>
            <w:tcW w:type="dxa" w:w="2088"/>
            <w:vAlign w:val="center"/>
            <w:tcMar>
              <w:top w:w="65" w:type="dxa"/>
              <w:bottom w:w="65" w:type="dxa"/>
              <w:left w:w="85" w:type="dxa"/>
              <w:right w:w="85" w:type="dxa"/>
            </w:tcMar>
            <w:shd w:fill="F0F4F7"/>
          </w:tcPr>
          <w:p>
            <w:pPr>
              <w:spacing w:after="0" w:line="240" w:lineRule="auto"/>
              <w:jc w:val="center"/>
            </w:pPr>
            <w:r>
              <w:rPr>
                <w:b w:val="0"/>
                <w:color w:val="000000"/>
                <w:sz w:val="20"/>
              </w:rPr>
              <w:t>−1,019</w:t>
            </w:r>
          </w:p>
        </w:tc>
      </w:tr>
      <w:tr>
        <w:trPr>
          <w:cantSplit/>
        </w:trPr>
        <w:tc>
          <w:tcPr>
            <w:tcW w:type="dxa" w:w="2016"/>
            <w:vAlign w:val="center"/>
            <w:tcMar>
              <w:top w:w="65" w:type="dxa"/>
              <w:bottom w:w="65" w:type="dxa"/>
              <w:left w:w="85" w:type="dxa"/>
              <w:right w:w="85" w:type="dxa"/>
            </w:tcMar>
            <w:shd w:fill="FFFFFF"/>
          </w:tcPr>
          <w:p>
            <w:pPr>
              <w:spacing w:after="0" w:line="240" w:lineRule="auto"/>
              <w:jc w:val="left"/>
            </w:pPr>
            <w:r>
              <w:rPr>
                <w:b w:val="0"/>
                <w:color w:val="000000"/>
                <w:sz w:val="20"/>
              </w:rPr>
              <w:t>105.00%</w:t>
            </w:r>
          </w:p>
        </w:tc>
        <w:tc>
          <w:tcPr>
            <w:tcW w:type="dxa" w:w="2088"/>
            <w:vAlign w:val="center"/>
            <w:tcMar>
              <w:top w:w="65" w:type="dxa"/>
              <w:bottom w:w="65" w:type="dxa"/>
              <w:left w:w="85" w:type="dxa"/>
              <w:right w:w="85" w:type="dxa"/>
            </w:tcMar>
            <w:shd w:fill="FFFFFF"/>
          </w:tcPr>
          <w:p>
            <w:pPr>
              <w:spacing w:after="0" w:line="240" w:lineRule="auto"/>
              <w:jc w:val="center"/>
            </w:pPr>
            <w:r>
              <w:rPr>
                <w:b w:val="0"/>
                <w:color w:val="000000"/>
                <w:sz w:val="20"/>
              </w:rPr>
              <w:t>6,520</w:t>
            </w:r>
          </w:p>
        </w:tc>
        <w:tc>
          <w:tcPr>
            <w:tcW w:type="dxa" w:w="2088"/>
            <w:vAlign w:val="center"/>
            <w:tcMar>
              <w:top w:w="65" w:type="dxa"/>
              <w:bottom w:w="65" w:type="dxa"/>
              <w:left w:w="85" w:type="dxa"/>
              <w:right w:w="85" w:type="dxa"/>
            </w:tcMar>
            <w:shd w:fill="FFFFFF"/>
          </w:tcPr>
          <w:p>
            <w:pPr>
              <w:spacing w:after="0" w:line="240" w:lineRule="auto"/>
              <w:jc w:val="center"/>
            </w:pPr>
            <w:r>
              <w:rPr>
                <w:b w:val="0"/>
                <w:color w:val="000000"/>
                <w:sz w:val="20"/>
              </w:rPr>
              <w:t>5,520</w:t>
            </w:r>
          </w:p>
        </w:tc>
        <w:tc>
          <w:tcPr>
            <w:tcW w:type="dxa" w:w="2088"/>
            <w:vAlign w:val="center"/>
            <w:tcMar>
              <w:top w:w="65" w:type="dxa"/>
              <w:bottom w:w="65" w:type="dxa"/>
              <w:left w:w="85" w:type="dxa"/>
              <w:right w:w="85" w:type="dxa"/>
            </w:tcMar>
            <w:shd w:fill="FFFFFF"/>
          </w:tcPr>
          <w:p>
            <w:pPr>
              <w:spacing w:after="0" w:line="240" w:lineRule="auto"/>
              <w:jc w:val="center"/>
            </w:pPr>
            <w:r>
              <w:rPr>
                <w:b w:val="0"/>
                <w:color w:val="000000"/>
                <w:sz w:val="20"/>
              </w:rPr>
              <w:t>4,020</w:t>
            </w:r>
          </w:p>
        </w:tc>
        <w:tc>
          <w:tcPr>
            <w:tcW w:type="dxa" w:w="2088"/>
            <w:vAlign w:val="center"/>
            <w:tcMar>
              <w:top w:w="65" w:type="dxa"/>
              <w:bottom w:w="65" w:type="dxa"/>
              <w:left w:w="85" w:type="dxa"/>
              <w:right w:w="85" w:type="dxa"/>
            </w:tcMar>
            <w:shd w:fill="FFFFFF"/>
          </w:tcPr>
          <w:p>
            <w:pPr>
              <w:spacing w:after="0" w:line="240" w:lineRule="auto"/>
              <w:jc w:val="center"/>
            </w:pPr>
            <w:r>
              <w:rPr>
                <w:b w:val="0"/>
                <w:color w:val="000000"/>
                <w:sz w:val="20"/>
              </w:rPr>
              <w:t>1,520</w:t>
            </w:r>
          </w:p>
        </w:tc>
      </w:tr>
      <w:tr>
        <w:trPr>
          <w:cantSplit/>
        </w:trPr>
        <w:tc>
          <w:tcPr>
            <w:tcW w:type="dxa" w:w="2016"/>
            <w:vAlign w:val="center"/>
            <w:tcMar>
              <w:top w:w="65" w:type="dxa"/>
              <w:bottom w:w="65" w:type="dxa"/>
              <w:left w:w="85" w:type="dxa"/>
              <w:right w:w="85" w:type="dxa"/>
            </w:tcMar>
            <w:shd w:fill="F0F4F7"/>
          </w:tcPr>
          <w:p>
            <w:pPr>
              <w:spacing w:after="0" w:line="240" w:lineRule="auto"/>
              <w:jc w:val="left"/>
            </w:pPr>
            <w:r>
              <w:rPr>
                <w:b w:val="0"/>
                <w:color w:val="000000"/>
                <w:sz w:val="20"/>
              </w:rPr>
              <w:t>110.00%</w:t>
            </w:r>
          </w:p>
        </w:tc>
        <w:tc>
          <w:tcPr>
            <w:tcW w:type="dxa" w:w="2088"/>
            <w:vAlign w:val="center"/>
            <w:tcMar>
              <w:top w:w="65" w:type="dxa"/>
              <w:bottom w:w="65" w:type="dxa"/>
              <w:left w:w="85" w:type="dxa"/>
              <w:right w:w="85" w:type="dxa"/>
            </w:tcMar>
            <w:shd w:fill="F0F4F7"/>
          </w:tcPr>
          <w:p>
            <w:pPr>
              <w:spacing w:after="0" w:line="240" w:lineRule="auto"/>
              <w:jc w:val="center"/>
            </w:pPr>
            <w:r>
              <w:rPr>
                <w:b w:val="0"/>
                <w:color w:val="000000"/>
                <w:sz w:val="20"/>
              </w:rPr>
              <w:t>9,058</w:t>
            </w:r>
          </w:p>
        </w:tc>
        <w:tc>
          <w:tcPr>
            <w:tcW w:type="dxa" w:w="2088"/>
            <w:vAlign w:val="center"/>
            <w:tcMar>
              <w:top w:w="65" w:type="dxa"/>
              <w:bottom w:w="65" w:type="dxa"/>
              <w:left w:w="85" w:type="dxa"/>
              <w:right w:w="85" w:type="dxa"/>
            </w:tcMar>
            <w:shd w:fill="F0F4F7"/>
          </w:tcPr>
          <w:p>
            <w:pPr>
              <w:spacing w:after="0" w:line="240" w:lineRule="auto"/>
              <w:jc w:val="center"/>
            </w:pPr>
            <w:r>
              <w:rPr>
                <w:b w:val="0"/>
                <w:color w:val="000000"/>
                <w:sz w:val="20"/>
              </w:rPr>
              <w:t>8,058</w:t>
            </w:r>
          </w:p>
        </w:tc>
        <w:tc>
          <w:tcPr>
            <w:tcW w:type="dxa" w:w="2088"/>
            <w:vAlign w:val="center"/>
            <w:tcMar>
              <w:top w:w="65" w:type="dxa"/>
              <w:bottom w:w="65" w:type="dxa"/>
              <w:left w:w="85" w:type="dxa"/>
              <w:right w:w="85" w:type="dxa"/>
            </w:tcMar>
            <w:shd w:fill="F0F4F7"/>
          </w:tcPr>
          <w:p>
            <w:pPr>
              <w:spacing w:after="0" w:line="240" w:lineRule="auto"/>
              <w:jc w:val="center"/>
            </w:pPr>
            <w:r>
              <w:rPr>
                <w:b w:val="0"/>
                <w:color w:val="000000"/>
                <w:sz w:val="20"/>
              </w:rPr>
              <w:t>6,558</w:t>
            </w:r>
          </w:p>
        </w:tc>
        <w:tc>
          <w:tcPr>
            <w:tcW w:type="dxa" w:w="2088"/>
            <w:vAlign w:val="center"/>
            <w:tcMar>
              <w:top w:w="65" w:type="dxa"/>
              <w:bottom w:w="65" w:type="dxa"/>
              <w:left w:w="85" w:type="dxa"/>
              <w:right w:w="85" w:type="dxa"/>
            </w:tcMar>
            <w:shd w:fill="F0F4F7"/>
          </w:tcPr>
          <w:p>
            <w:pPr>
              <w:spacing w:after="0" w:line="240" w:lineRule="auto"/>
              <w:jc w:val="center"/>
            </w:pPr>
            <w:r>
              <w:rPr>
                <w:b w:val="0"/>
                <w:color w:val="000000"/>
                <w:sz w:val="20"/>
              </w:rPr>
              <w:t>4,058</w:t>
            </w:r>
          </w:p>
        </w:tc>
      </w:tr>
    </w:tbl>
    <w:p>
      <w:pPr>
        <w:spacing w:after="0"/>
      </w:pPr>
    </w:p>
    <w:p>
      <w:r>
        <w:t>At v = 95%, Kmax is $1,442.10. Raising K from $1,000 to $2,500 changes the result from +$442.10 to −$1,057.90. At v = 90%, the result is already −$1,096.67 before any implementation expenses.</w:t>
      </w:r>
    </w:p>
    <w:p>
      <w:pPr>
        <w:pStyle w:val="Heading1"/>
        <w:pageBreakBefore/>
      </w:pPr>
      <w:r>
        <w:t>Assumptions register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992"/>
      </w:tblGrid>
      <w:tr>
        <w:trPr>
          <w:cantSplit/>
          <w:tblHeader/>
        </w:trPr>
        <w:tc>
          <w:tcPr>
            <w:tcW w:type="dxa" w:w="2376"/>
            <w:vAlign w:val="center"/>
            <w:tcMar>
              <w:top w:w="65" w:type="dxa"/>
              <w:bottom w:w="65" w:type="dxa"/>
              <w:left w:w="85" w:type="dxa"/>
              <w:right w:w="85" w:type="dxa"/>
            </w:tcMar>
            <w:shd w:fill="20384A"/>
          </w:tcPr>
          <w:p>
            <w:pPr>
              <w:spacing w:after="0" w:line="240" w:lineRule="auto"/>
              <w:jc w:val="left"/>
            </w:pPr>
            <w:r>
              <w:rPr>
                <w:b/>
                <w:color w:val="FFFFFF"/>
                <w:sz w:val="21"/>
              </w:rPr>
              <w:t>Assumption or evidence</w:t>
            </w:r>
          </w:p>
        </w:tc>
        <w:tc>
          <w:tcPr>
            <w:tcW w:type="dxa" w:w="7992"/>
            <w:vAlign w:val="center"/>
            <w:tcMar>
              <w:top w:w="65" w:type="dxa"/>
              <w:bottom w:w="65" w:type="dxa"/>
              <w:left w:w="85" w:type="dxa"/>
              <w:right w:w="85" w:type="dxa"/>
            </w:tcMar>
            <w:shd w:fill="20384A"/>
          </w:tcPr>
          <w:p>
            <w:pPr>
              <w:spacing w:after="0" w:line="240" w:lineRule="auto"/>
              <w:jc w:val="left"/>
            </w:pPr>
            <w:r>
              <w:rPr>
                <w:b/>
                <w:color w:val="FFFFFF"/>
                <w:sz w:val="21"/>
              </w:rPr>
              <w:t>Decision consequence</w:t>
            </w:r>
          </w:p>
        </w:tc>
      </w:tr>
      <w:tr>
        <w:trPr>
          <w:cantSplit/>
        </w:trPr>
        <w:tc>
          <w:tcPr>
            <w:tcW w:type="dxa" w:w="2376"/>
            <w:vAlign w:val="center"/>
            <w:tcMar>
              <w:top w:w="65" w:type="dxa"/>
              <w:bottom w:w="65" w:type="dxa"/>
              <w:left w:w="85" w:type="dxa"/>
              <w:right w:w="85" w:type="dxa"/>
            </w:tcMar>
            <w:shd w:fill="FFFFFF"/>
          </w:tcPr>
          <w:p>
            <w:pPr>
              <w:spacing w:after="0" w:line="240" w:lineRule="auto"/>
              <w:jc w:val="left"/>
            </w:pPr>
            <w:r>
              <w:rPr>
                <w:b w:val="0"/>
                <w:color w:val="000000"/>
                <w:sz w:val="21"/>
              </w:rPr>
              <w:t>Observed baseline</w:t>
            </w:r>
          </w:p>
        </w:tc>
        <w:tc>
          <w:tcPr>
            <w:tcW w:type="dxa" w:w="7992"/>
            <w:vAlign w:val="center"/>
            <w:tcMar>
              <w:top w:w="65" w:type="dxa"/>
              <w:bottom w:w="65" w:type="dxa"/>
              <w:left w:w="85" w:type="dxa"/>
              <w:right w:w="85" w:type="dxa"/>
            </w:tcMar>
            <w:shd w:fill="FFFFFF"/>
          </w:tcPr>
          <w:p>
            <w:pPr>
              <w:spacing w:after="0" w:line="240" w:lineRule="auto"/>
              <w:jc w:val="left"/>
            </w:pPr>
            <w:r>
              <w:rPr>
                <w:b w:val="0"/>
                <w:color w:val="000000"/>
                <w:sz w:val="21"/>
              </w:rPr>
              <w:t>Garden revenue $99,748.55, recorded costs $52,954.06 and GP $46,794.49 cover January–June 2026. They are historical observations, not a future no-action forecast.</w:t>
            </w:r>
          </w:p>
        </w:tc>
      </w:tr>
      <w:tr>
        <w:trPr>
          <w:cantSplit/>
        </w:trPr>
        <w:tc>
          <w:tcPr>
            <w:tcW w:type="dxa" w:w="2376"/>
            <w:vAlign w:val="center"/>
            <w:tcMar>
              <w:top w:w="65" w:type="dxa"/>
              <w:bottom w:w="65" w:type="dxa"/>
              <w:left w:w="85" w:type="dxa"/>
              <w:right w:w="85" w:type="dxa"/>
            </w:tcMar>
            <w:shd w:fill="F0F4F7"/>
          </w:tcPr>
          <w:p>
            <w:pPr>
              <w:spacing w:after="0" w:line="240" w:lineRule="auto"/>
              <w:jc w:val="left"/>
            </w:pPr>
            <w:r>
              <w:rPr>
                <w:b w:val="0"/>
                <w:color w:val="000000"/>
                <w:sz w:val="21"/>
              </w:rPr>
              <w:t>Comparable products</w:t>
            </w:r>
          </w:p>
        </w:tc>
        <w:tc>
          <w:tcPr>
            <w:tcW w:type="dxa" w:w="7992"/>
            <w:vAlign w:val="center"/>
            <w:tcMar>
              <w:top w:w="65" w:type="dxa"/>
              <w:bottom w:w="65" w:type="dxa"/>
              <w:left w:w="85" w:type="dxa"/>
              <w:right w:w="85" w:type="dxa"/>
            </w:tcMar>
            <w:shd w:fill="F0F4F7"/>
          </w:tcPr>
          <w:p>
            <w:pPr>
              <w:spacing w:after="0" w:line="240" w:lineRule="auto"/>
              <w:jc w:val="left"/>
            </w:pPr>
            <w:r>
              <w:rPr>
                <w:b w:val="0"/>
                <w:color w:val="000000"/>
                <w:sz w:val="21"/>
              </w:rPr>
              <w:t>All 45 product names match, and branch/product prices and costs are constant in the file. Names alone do not establish equivalent recipes, portions, quality, service or supplier terms. Verify these before selecting a reference.</w:t>
            </w:r>
          </w:p>
        </w:tc>
      </w:tr>
      <w:tr>
        <w:trPr>
          <w:cantSplit/>
        </w:trPr>
        <w:tc>
          <w:tcPr>
            <w:tcW w:type="dxa" w:w="2376"/>
            <w:vAlign w:val="center"/>
            <w:tcMar>
              <w:top w:w="65" w:type="dxa"/>
              <w:bottom w:w="65" w:type="dxa"/>
              <w:left w:w="85" w:type="dxa"/>
              <w:right w:w="85" w:type="dxa"/>
            </w:tcMar>
            <w:shd w:fill="FFFFFF"/>
          </w:tcPr>
          <w:p>
            <w:pPr>
              <w:spacing w:after="0" w:line="240" w:lineRule="auto"/>
              <w:jc w:val="left"/>
            </w:pPr>
            <w:r>
              <w:rPr>
                <w:b w:val="0"/>
                <w:color w:val="000000"/>
                <w:sz w:val="21"/>
              </w:rPr>
              <w:t>Cash avoidability</w:t>
            </w:r>
          </w:p>
        </w:tc>
        <w:tc>
          <w:tcPr>
            <w:tcW w:type="dxa" w:w="7992"/>
            <w:vAlign w:val="center"/>
            <w:tcMar>
              <w:top w:w="65" w:type="dxa"/>
              <w:bottom w:w="65" w:type="dxa"/>
              <w:left w:w="85" w:type="dxa"/>
              <w:right w:w="85" w:type="dxa"/>
            </w:tcMar>
            <w:shd w:fill="FFFFFF"/>
          </w:tcPr>
          <w:p>
            <w:pPr>
              <w:spacing w:after="0" w:line="240" w:lineRule="auto"/>
              <w:jc w:val="left"/>
            </w:pPr>
            <w:r>
              <w:rPr>
                <w:b w:val="0"/>
                <w:color w:val="000000"/>
                <w:sz w:val="21"/>
              </w:rPr>
              <w:t>Cost closure is hypothetical. Count savings only where procurement, waste or another expense actually falls. A lower allocated charge alone changes reported branch performance, not Stories’ total cash expenses.</w:t>
            </w:r>
          </w:p>
        </w:tc>
      </w:tr>
      <w:tr>
        <w:trPr>
          <w:cantSplit/>
        </w:trPr>
        <w:tc>
          <w:tcPr>
            <w:tcW w:type="dxa" w:w="2376"/>
            <w:vAlign w:val="center"/>
            <w:tcMar>
              <w:top w:w="65" w:type="dxa"/>
              <w:bottom w:w="65" w:type="dxa"/>
              <w:left w:w="85" w:type="dxa"/>
              <w:right w:w="85" w:type="dxa"/>
            </w:tcMar>
            <w:shd w:fill="F0F4F7"/>
          </w:tcPr>
          <w:p>
            <w:pPr>
              <w:spacing w:after="0" w:line="240" w:lineRule="auto"/>
              <w:jc w:val="left"/>
            </w:pPr>
            <w:r>
              <w:rPr>
                <w:b w:val="0"/>
                <w:color w:val="000000"/>
                <w:sz w:val="21"/>
              </w:rPr>
              <w:t>Closure mechanism</w:t>
            </w:r>
          </w:p>
        </w:tc>
        <w:tc>
          <w:tcPr>
            <w:tcW w:type="dxa" w:w="7992"/>
            <w:vAlign w:val="center"/>
            <w:tcMar>
              <w:top w:w="65" w:type="dxa"/>
              <w:bottom w:w="65" w:type="dxa"/>
              <w:left w:w="85" w:type="dxa"/>
              <w:right w:w="85" w:type="dxa"/>
            </w:tcMar>
            <w:shd w:fill="F0F4F7"/>
          </w:tcPr>
          <w:p>
            <w:pPr>
              <w:spacing w:after="0" w:line="240" w:lineRule="auto"/>
              <w:jc w:val="left"/>
            </w:pPr>
            <w:r>
              <w:rPr>
                <w:b w:val="0"/>
                <w:color w:val="000000"/>
                <w:sz w:val="21"/>
              </w:rPr>
              <w:t>For each product, new cost equals Garden cost less α times its gap to the reference. The same α applies across products. If only some products change, aggregate their actual savings and recompute Gₛ.</w:t>
            </w:r>
          </w:p>
        </w:tc>
      </w:tr>
      <w:tr>
        <w:trPr>
          <w:cantSplit/>
        </w:trPr>
        <w:tc>
          <w:tcPr>
            <w:tcW w:type="dxa" w:w="2376"/>
            <w:vAlign w:val="center"/>
            <w:tcMar>
              <w:top w:w="65" w:type="dxa"/>
              <w:bottom w:w="65" w:type="dxa"/>
              <w:left w:w="85" w:type="dxa"/>
              <w:right w:w="85" w:type="dxa"/>
            </w:tcMar>
            <w:shd w:fill="FFFFFF"/>
          </w:tcPr>
          <w:p>
            <w:pPr>
              <w:spacing w:after="0" w:line="240" w:lineRule="auto"/>
              <w:jc w:val="left"/>
            </w:pPr>
            <w:r>
              <w:rPr>
                <w:b w:val="0"/>
                <w:color w:val="000000"/>
                <w:sz w:val="21"/>
              </w:rPr>
              <w:t>Volume and mix</w:t>
            </w:r>
          </w:p>
        </w:tc>
        <w:tc>
          <w:tcPr>
            <w:tcW w:type="dxa" w:w="7992"/>
            <w:vAlign w:val="center"/>
            <w:tcMar>
              <w:top w:w="65" w:type="dxa"/>
              <w:bottom w:w="65" w:type="dxa"/>
              <w:left w:w="85" w:type="dxa"/>
              <w:right w:w="85" w:type="dxa"/>
            </w:tcMar>
            <w:shd w:fill="FFFFFF"/>
          </w:tcPr>
          <w:p>
            <w:pPr>
              <w:spacing w:after="0" w:line="240" w:lineRule="auto"/>
              <w:jc w:val="left"/>
            </w:pPr>
            <w:r>
              <w:rPr>
                <w:b w:val="0"/>
                <w:color w:val="000000"/>
                <w:sz w:val="21"/>
              </w:rPr>
              <w:t>v scales units sold, not customer or transaction counts. Product mix, discounts and scenario unit margins stay fixed. No elasticity is estimated. Recompute product-level profit if mix, terms, waste or unit costs change.</w:t>
            </w:r>
          </w:p>
        </w:tc>
      </w:tr>
      <w:tr>
        <w:trPr>
          <w:cantSplit/>
        </w:trPr>
        <w:tc>
          <w:tcPr>
            <w:tcW w:type="dxa" w:w="2376"/>
            <w:vAlign w:val="center"/>
            <w:tcMar>
              <w:top w:w="65" w:type="dxa"/>
              <w:bottom w:w="65" w:type="dxa"/>
              <w:left w:w="85" w:type="dxa"/>
              <w:right w:w="85" w:type="dxa"/>
            </w:tcMar>
            <w:shd w:fill="F0F4F7"/>
          </w:tcPr>
          <w:p>
            <w:pPr>
              <w:spacing w:after="0" w:line="240" w:lineRule="auto"/>
              <w:jc w:val="left"/>
            </w:pPr>
            <w:r>
              <w:rPr>
                <w:b w:val="0"/>
                <w:color w:val="000000"/>
                <w:sz w:val="21"/>
              </w:rPr>
              <w:t>Prices and discounts</w:t>
            </w:r>
          </w:p>
        </w:tc>
        <w:tc>
          <w:tcPr>
            <w:tcW w:type="dxa" w:w="7992"/>
            <w:vAlign w:val="center"/>
            <w:tcMar>
              <w:top w:w="65" w:type="dxa"/>
              <w:bottom w:w="65" w:type="dxa"/>
              <w:left w:w="85" w:type="dxa"/>
              <w:right w:w="85" w:type="dxa"/>
            </w:tcMar>
            <w:shd w:fill="F0F4F7"/>
          </w:tcPr>
          <w:p>
            <w:pPr>
              <w:spacing w:after="0" w:line="240" w:lineRule="auto"/>
              <w:jc w:val="left"/>
            </w:pPr>
            <w:r>
              <w:rPr>
                <w:b w:val="0"/>
                <w:color w:val="000000"/>
                <w:sz w:val="21"/>
              </w:rPr>
              <w:t>Price matching changes list prices to the reference and preserves Garden discount rates. Removing discounts restores recorded discount dollars at fixed quantity. Neither customer response nor future promotion effectiveness is observed.</w:t>
            </w:r>
          </w:p>
        </w:tc>
      </w:tr>
      <w:tr>
        <w:trPr>
          <w:cantSplit/>
        </w:trPr>
        <w:tc>
          <w:tcPr>
            <w:tcW w:type="dxa" w:w="2376"/>
            <w:vAlign w:val="center"/>
            <w:tcMar>
              <w:top w:w="65" w:type="dxa"/>
              <w:bottom w:w="65" w:type="dxa"/>
              <w:left w:w="85" w:type="dxa"/>
              <w:right w:w="85" w:type="dxa"/>
            </w:tcMar>
            <w:shd w:fill="FFFFFF"/>
          </w:tcPr>
          <w:p>
            <w:pPr>
              <w:spacing w:after="0" w:line="240" w:lineRule="auto"/>
              <w:jc w:val="left"/>
            </w:pPr>
            <w:r>
              <w:rPr>
                <w:b w:val="0"/>
                <w:color w:val="000000"/>
                <w:sz w:val="21"/>
              </w:rPr>
              <w:t>Implementation expenses</w:t>
            </w:r>
          </w:p>
        </w:tc>
        <w:tc>
          <w:tcPr>
            <w:tcW w:type="dxa" w:w="7992"/>
            <w:vAlign w:val="center"/>
            <w:tcMar>
              <w:top w:w="65" w:type="dxa"/>
              <w:bottom w:w="65" w:type="dxa"/>
              <w:left w:w="85" w:type="dxa"/>
              <w:right w:w="85" w:type="dxa"/>
            </w:tcMar>
            <w:shd w:fill="FFFFFF"/>
          </w:tcPr>
          <w:p>
            <w:pPr>
              <w:spacing w:after="0" w:line="240" w:lineRule="auto"/>
              <w:jc w:val="left"/>
            </w:pPr>
            <w:r>
              <w:rPr>
                <w:b w:val="0"/>
                <w:color w:val="000000"/>
                <w:sz w:val="21"/>
              </w:rPr>
              <w:t>K includes setup, training, testing, switching, delivery, minimum-order effects and six-month recurring expenses beyond scenario costs. Include additional waste or refunds once only; avoid double-counting amounts already in unit costs or net revenue.</w:t>
            </w:r>
          </w:p>
        </w:tc>
      </w:tr>
      <w:tr>
        <w:trPr>
          <w:cantSplit/>
        </w:trPr>
        <w:tc>
          <w:tcPr>
            <w:tcW w:type="dxa" w:w="2376"/>
            <w:vAlign w:val="center"/>
            <w:tcMar>
              <w:top w:w="65" w:type="dxa"/>
              <w:bottom w:w="65" w:type="dxa"/>
              <w:left w:w="85" w:type="dxa"/>
              <w:right w:w="85" w:type="dxa"/>
            </w:tcMar>
            <w:shd w:fill="F0F4F7"/>
          </w:tcPr>
          <w:p>
            <w:pPr>
              <w:spacing w:after="0" w:line="240" w:lineRule="auto"/>
              <w:jc w:val="left"/>
            </w:pPr>
            <w:r>
              <w:rPr>
                <w:b w:val="0"/>
                <w:color w:val="000000"/>
                <w:sz w:val="21"/>
              </w:rPr>
              <w:t>Sensitivity levels</w:t>
            </w:r>
          </w:p>
        </w:tc>
        <w:tc>
          <w:tcPr>
            <w:tcW w:type="dxa" w:w="7992"/>
            <w:vAlign w:val="center"/>
            <w:tcMar>
              <w:top w:w="65" w:type="dxa"/>
              <w:bottom w:w="65" w:type="dxa"/>
              <w:left w:w="85" w:type="dxa"/>
              <w:right w:w="85" w:type="dxa"/>
            </w:tcMar>
            <w:shd w:fill="F0F4F7"/>
          </w:tcPr>
          <w:p>
            <w:pPr>
              <w:spacing w:after="0" w:line="240" w:lineRule="auto"/>
              <w:jc w:val="left"/>
            </w:pPr>
            <w:r>
              <w:rPr>
                <w:b w:val="0"/>
                <w:color w:val="000000"/>
                <w:sz w:val="21"/>
              </w:rPr>
              <w:t>v = 85%, 90%, 95%, 100%, 105% and 110%; K = $0, $1,000, $2,500 and $5,000. These are illustrative stress levels, not forecasts, probability bounds or estimated customer responses.</w:t>
            </w:r>
          </w:p>
        </w:tc>
      </w:tr>
      <w:tr>
        <w:trPr>
          <w:cantSplit/>
        </w:trPr>
        <w:tc>
          <w:tcPr>
            <w:tcW w:type="dxa" w:w="2376"/>
            <w:vAlign w:val="center"/>
            <w:tcMar>
              <w:top w:w="65" w:type="dxa"/>
              <w:bottom w:w="65" w:type="dxa"/>
              <w:left w:w="85" w:type="dxa"/>
              <w:right w:w="85" w:type="dxa"/>
            </w:tcMar>
            <w:shd w:fill="FFFFFF"/>
          </w:tcPr>
          <w:p>
            <w:pPr>
              <w:spacing w:after="0" w:line="240" w:lineRule="auto"/>
              <w:jc w:val="left"/>
            </w:pPr>
            <w:r>
              <w:rPr>
                <w:b w:val="0"/>
                <w:color w:val="000000"/>
                <w:sz w:val="21"/>
              </w:rPr>
              <w:t>Profit and timing</w:t>
            </w:r>
          </w:p>
        </w:tc>
        <w:tc>
          <w:tcPr>
            <w:tcW w:type="dxa" w:w="7992"/>
            <w:vAlign w:val="center"/>
            <w:tcMar>
              <w:top w:w="65" w:type="dxa"/>
              <w:bottom w:w="65" w:type="dxa"/>
              <w:left w:w="85" w:type="dxa"/>
              <w:right w:w="85" w:type="dxa"/>
            </w:tcMar>
            <w:shd w:fill="FFFFFF"/>
          </w:tcPr>
          <w:p>
            <w:pPr>
              <w:spacing w:after="0" w:line="240" w:lineRule="auto"/>
              <w:jc w:val="left"/>
            </w:pPr>
            <w:r>
              <w:rPr>
                <w:b w:val="0"/>
                <w:color w:val="000000"/>
                <w:sz w:val="21"/>
              </w:rPr>
              <w:t>Results are gross-profit changes less additional expenses, not a full forecast of net profit. Existing fixed overhead is unchanged. Ramp-up delays and affected sales coverage must reduce projected benefits. A short trial cannot establish realized six-month benefit.</w:t>
            </w:r>
          </w:p>
        </w:tc>
      </w:tr>
      <w:tr>
        <w:trPr>
          <w:cantSplit/>
        </w:trPr>
        <w:tc>
          <w:tcPr>
            <w:tcW w:type="dxa" w:w="2376"/>
            <w:vAlign w:val="center"/>
            <w:tcMar>
              <w:top w:w="65" w:type="dxa"/>
              <w:bottom w:w="65" w:type="dxa"/>
              <w:left w:w="85" w:type="dxa"/>
              <w:right w:w="85" w:type="dxa"/>
            </w:tcMar>
            <w:shd w:fill="F0F4F7"/>
          </w:tcPr>
          <w:p>
            <w:pPr>
              <w:spacing w:after="0" w:line="240" w:lineRule="auto"/>
              <w:jc w:val="left"/>
            </w:pPr>
            <w:r>
              <w:rPr>
                <w:b w:val="0"/>
                <w:color w:val="000000"/>
                <w:sz w:val="21"/>
              </w:rPr>
              <w:t>Rounding and inference</w:t>
            </w:r>
          </w:p>
        </w:tc>
        <w:tc>
          <w:tcPr>
            <w:tcW w:type="dxa" w:w="7992"/>
            <w:vAlign w:val="center"/>
            <w:tcMar>
              <w:top w:w="65" w:type="dxa"/>
              <w:bottom w:w="65" w:type="dxa"/>
              <w:left w:w="85" w:type="dxa"/>
              <w:right w:w="85" w:type="dxa"/>
            </w:tcMar>
            <w:shd w:fill="F0F4F7"/>
          </w:tcPr>
          <w:p>
            <w:pPr>
              <w:spacing w:after="0" w:line="240" w:lineRule="auto"/>
              <w:jc w:val="left"/>
            </w:pPr>
            <w:r>
              <w:rPr>
                <w:b w:val="0"/>
                <w:color w:val="000000"/>
                <w:sz w:val="21"/>
              </w:rPr>
              <w:t>Repricing adds modeled price changes to recorded revenue, preserving its $0.755 aggregate rounding residual. Full precision is kept until display. Repeated transactions at fixed prices and costs do not identify demand response or the cause of the cost gap.</w:t>
            </w:r>
          </w:p>
        </w:tc>
      </w:tr>
    </w:tbl>
    <w:p>
      <w:pPr>
        <w:spacing w:after="0"/>
      </w:pPr>
    </w:p>
    <w:p>
      <w:r>
        <w:rPr>
          <w:b/>
        </w:rPr>
        <w:t>Scope of uncertainty.</w:t>
      </w:r>
      <w:r>
        <w:t xml:space="preserve"> The missing evidence is supplier invoices and contracts, allocation rules, recipe and portion specifications, inventory and waste records, and a controlled sales response. Until these are resolved, the scenarios quantify conditional opportunities rather than validated actions.</w:t>
      </w:r>
    </w:p>
    <w:p>
      <w:pPr>
        <w:pStyle w:val="Heading1"/>
        <w:pageBreakBefore/>
      </w:pPr>
      <w:r>
        <w:t>Evidence that changes the choice</w:t>
      </w:r>
    </w:p>
    <w:p>
      <w:r>
        <w:rPr>
          <w:b/>
        </w:rPr>
        <w:t>Decision rule.</w:t>
      </w:r>
      <w:r>
        <w:t xml:space="preserve"> Compare only actions whose costs and operating requirements are demonstrably feasible. For each, use evidence-supported conservative quantities, unit economics and total expenses; choose the largest positive incremental benefit. If the result is zero or negative, or required evidence is absent, retain current operations and resolve that uncertainty. Run the price and cost tests separately before testing their combination.</w:t>
      </w:r>
    </w:p>
    <w:p>
      <w:pPr>
        <w:pStyle w:val="Heading2"/>
      </w:pPr>
      <w:r>
        <w:t>Findings and required action</w:t>
      </w:r>
    </w:p>
    <w:p>
      <w:r>
        <w:rPr>
          <w:b/>
        </w:rPr>
        <w:t xml:space="preserve">Avoidable purchasing premium confirmed. </w:t>
      </w:r>
      <w:r>
        <w:t>Obtain like-for-like supplier terms at Garden’s actual purchase volumes, including freight, rebates, credit, minimum orders and service. Trial the quoted offer and count invoice-backed savings after additional expenses.</w:t>
      </w:r>
    </w:p>
    <w:p>
      <w:r>
        <w:rPr>
          <w:b/>
        </w:rPr>
        <w:t xml:space="preserve">Allocation difference confirmed. </w:t>
      </w:r>
      <w:r>
        <w:t>Correct branch performance comparisons and identify the expenses allocated to each branch. Count financial savings only where Stories’ underlying expenses actually fall; do not recommend a supplier change from an allocation correction.</w:t>
      </w:r>
    </w:p>
    <w:p>
      <w:r>
        <w:rPr>
          <w:b/>
        </w:rPr>
        <w:t xml:space="preserve">Quality or portion differences confirmed. </w:t>
      </w:r>
      <w:r>
        <w:t>Compare equivalent ingredients, recipes, yields and portion sizes. Evaluate like-for-like offers and customer quality acceptance before recommending cost reduction. Retain the premium if its value outweighs verified alternatives.</w:t>
      </w:r>
    </w:p>
    <w:p>
      <w:r>
        <w:rPr>
          <w:b/>
        </w:rPr>
        <w:t xml:space="preserve">Cause unresolved. </w:t>
      </w:r>
      <w:r>
        <w:t>A supplier-change recommendation is blocked by uncertainty over whether the recorded premium is a comparable and avoidable purchase cost. Obtain invoices, allocation rules and product specifications before proceeding.</w:t>
      </w:r>
    </w:p>
    <w:p>
      <w:pPr>
        <w:pStyle w:val="Heading2"/>
      </w:pPr>
      <w:r>
        <w:t>Numerical conditions that reverse the decision</w:t>
      </w:r>
    </w:p>
    <w:p>
      <w:r>
        <w:t>Harbour 25% cost closure: with K = $1,000, retain more than 94.13% of observed quantities. At v = 95%, keep K below $1,442.10. At v = 95% and K = $1,000, actual Harbour-gap closure must exceed 22.08%; at K = $2,500 it must exceed 31.99%.</w:t>
      </w:r>
    </w:p>
    <w:p>
      <w:r>
        <w:t>Choose Harbour price-only over Harbour 25% cost-only if, at equal expenses, price-only retains more than 98.06% while cost-only retains 100%, or more than 93.16% while cost-only retains 95%. If price-only costs $1,000 more and cost-only retains 100%, price-only must retain more than 99.99%. Independently require positive benefit versus baseline.</w:t>
      </w:r>
    </w:p>
    <w:p>
      <w:r>
        <w:t>Choose Uptown 25% cost closure over Harbour 25% if equally comparable and feasible: at v = 95%, Uptown can incur only $353.00 more expense before losing its advantage. With equal v and K, Harbour cost closure must exceed 31.31% of its gap to outperform Harbour price-only.</w:t>
      </w:r>
    </w:p>
    <w:p>
      <w:r>
        <w:t>Test the combined Harbour 25% cost closure and Harbour prices after both levers pass: at v = 95%, K = $1,000 it yields $5,178.67. Choose it only if the joint result survives actual demand, quality and expense measurements.</w:t>
      </w:r>
    </w:p>
    <w:p>
      <w:r>
        <w:t>Uptown price-only needs more than 9.36% volume growth at K = $0 or 11.70% at K = $1,000 merely to beat observed GP. Discount removal tolerates only 1.17% volume loss at K = $0. These thresholds require measured evidence before adoption.</w:t>
      </w:r>
    </w:p>
    <w:p>
      <w:pPr>
        <w:pStyle w:val="Heading1"/>
        <w:pageBreakBefore/>
      </w:pPr>
      <w:r>
        <w:t>Practical validation plan</w:t>
      </w:r>
    </w:p>
    <w:p>
      <w:r>
        <w:rPr>
          <w:b/>
        </w:rPr>
        <w:t>Proposed trial design.</w:t>
      </w:r>
      <w:r>
        <w:t xml:space="preserve"> Use two weeks of baseline measurement followed by four weeks of a limited trial, covering at least two replenishment cycles. Before starting, record products, supplier terms, unchanged recipe/portion specifications, matched untreated products or alternating comparable periods, cost coverage, expense cap and stopping rules. This duration and the tolerances below are proposed management choices; the dataset does not establish them.</w:t>
      </w:r>
    </w:p>
    <w:p>
      <w:r>
        <w:t>Purchasing trial: hold prices and promotions stable and test one cost change. Measure contemporaneous untreated products or periods to separate demand and seasonality from the change. Then, if warranted, test Harbour prices with cost and quality held stable. Use matched weekdays, order types and product groups; record spillovers and stockouts. A combined trial follows only if the separate tests justify it.</w:t>
      </w:r>
    </w:p>
    <w:p>
      <w:r>
        <w:t>Set minimum exposure from baseline daily variation before launch. Predeclare a one-sided 95% lower confidence bound on matched-day recurring incremental contribution. Project it only across verified coverage and rollout time, then deduct all six-month expenses once. Four weeks does not guarantee sufficient precision; an inconclusive result does not support rollout.</w:t>
      </w:r>
    </w:p>
    <w:p>
      <w:pPr>
        <w:pStyle w:val="Heading2"/>
      </w:pPr>
      <w:r>
        <w:t>Measures and financial reconciliation</w:t>
      </w:r>
    </w:p>
    <w:p>
      <w:r>
        <w:rPr>
          <w:b/>
        </w:rPr>
        <w:t xml:space="preserve">Purchase costs. </w:t>
      </w:r>
      <w:r>
        <w:t>Reconcile receipts, invoices, freight, rebates and usable yield per comparable unit. Track units purchased, consumed, sold and held in inventory. Separate purchase timing from actual expense reduction.</w:t>
      </w:r>
    </w:p>
    <w:p>
      <w:r>
        <w:rPr>
          <w:b/>
        </w:rPr>
        <w:t xml:space="preserve">Implementation expenses. </w:t>
      </w:r>
      <w:r>
        <w:t>Log setup, staff time, testing, transport, minimum-order commitments and recurring expenses. Maintain trial expenses and complete six-month K. Reduce projected savings for delayed rollout; do not also count those missed savings in K.</w:t>
      </w:r>
    </w:p>
    <w:p>
      <w:r>
        <w:rPr>
          <w:b/>
        </w:rPr>
        <w:t xml:space="preserve">Waste and quality. </w:t>
      </w:r>
      <w:r>
        <w:t>Weigh waste by product and reason; track waste cost, portion compliance, specification checks, blind quality scores, complaints and refunds. Reconcile waste with cost of sales to count it only once.</w:t>
      </w:r>
    </w:p>
    <w:p>
      <w:r>
        <w:rPr>
          <w:b/>
        </w:rPr>
        <w:t xml:space="preserve">Sales and realized benefit. </w:t>
      </w:r>
      <w:r>
        <w:t>Track quantities, mix, net revenue, discounts and returns daily. Calculate trial GP from actual net sales less actual consumed costs, then subtract comparable no-change GP and incremental expenses. Report the measured trial result separately from any six-month projection.</w:t>
      </w:r>
    </w:p>
    <w:p>
      <w:pPr>
        <w:pStyle w:val="Heading2"/>
      </w:pPr>
      <w:r>
        <w:t>Predeclared success and stop conditions</w:t>
      </w:r>
    </w:p>
    <w:p>
      <w:r>
        <w:rPr>
          <w:b/>
        </w:rPr>
        <w:t>Economic success.</w:t>
      </w:r>
      <w:r>
        <w:t xml:space="preserve"> For the illustrative Harbour 25% plan, require verified comparable savings equivalent to at least 25% of the weighted gap, total six-month K no greater than $1,000, and a conservative quantity assumption of at least 95%. These imply at least $442.10 under the model. Recalculate for actual coverage and ramp-up; do not award full savings to a partial rollout. Require a positive conservative six-month benefit bound. Report trial net benefit after all trial expenses even if upfront costs make it negative; this is a six-month decision, not a four-week payback rule.</w:t>
      </w:r>
    </w:p>
    <w:p>
      <w:r>
        <w:rPr>
          <w:b/>
        </w:rPr>
        <w:t>Operating success.</w:t>
      </w:r>
      <w:r>
        <w:t xml:space="preserve"> Require every delivered trial batch to meet agreed ingredient and portion specifications. Predeclare no more than a 0.5 percentage-point increase in waste weight as a share of material handled, no more than a 1 percentage-point increase in orders with complaints or refunds, and no more than a 0.25-point drop in blind quality rating on a five-point scale. These are proposed tolerances, not estimated outcomes; fix them before data collection.</w:t>
      </w:r>
    </w:p>
    <w:p>
      <w:r>
        <w:rPr>
          <w:b/>
        </w:rPr>
        <w:t>Stop or hold.</w:t>
      </w:r>
      <w:r>
        <w:t xml:space="preserve"> Stop on a specification failure or an operating tolerance breached at two consecutive weekly reviews. Hold expansion if K is forecast to exceed $1,000, conservative six-month benefit is zero or negative, or a volume/savings floor fails. At four weeks, incomplete invoices or an inconclusive six-month bound mean no rollout. Extend only within a budget and duration agreed before seeing the results. Reconcile actual benefit at six months before calling the projected saving realized.</w:t>
      </w:r>
    </w:p>
    <w:p>
      <w:pPr>
        <w:pStyle w:val="Heading1"/>
        <w:pageBreakBefore/>
      </w:pPr>
      <w:r>
        <w:t>Calculation sources and decision limits</w:t>
      </w:r>
    </w:p>
    <w:p>
      <w:r>
        <w:rPr>
          <w:b/>
        </w:rPr>
        <w:t>Counterfactual check.</w:t>
      </w:r>
      <w:r>
        <w:t xml:space="preserve"> The requested vGₛ − G₀ − K stress test uses historical G₀. The trial must also compare with a contemporaneous no-change estimate. If both action and no-action volumes fall 5%, Harbour 25% savings before K are $3,781.82 versus that comparator; $1,442.10 is the separate historical-baseline result. Report both and explain their difference.</w:t>
      </w:r>
    </w:p>
    <w:p>
      <w:pPr>
        <w:pStyle w:val="Heading2"/>
      </w:pPr>
      <w:r>
        <w:t>What the declared stress grid establishes</w:t>
      </w:r>
    </w:p>
    <w:p>
      <w:r>
        <w:t>Across the complete hypothetical grid of 85–110% volume and $0–$5,000 in expenses, only three modeled actions remain positive in every cell: 100% Harbour cost closure at Garden prices, 100% Uptown cost closure at Garden prices, and 100% Harbour cost closure with Harbour prices. At the most adverse grid point, v = 85% and K = $5,000, their benefits are respectively $1,515.78, $2,779.14 and $5,753.76.</w:t>
      </w:r>
    </w:p>
    <w:p>
      <w:r>
        <w:t>These are conditional stress results. The file supplies no evidence that full gap closure is commercially attainable, that the lowest tested volume is a lower bound, or that $5,000 is an upper bound on expenses. No action is established as universally worthwhile. Validated offers, measured sales response and a complete expense estimate determine which rows are eligible for the decision.</w:t>
      </w:r>
    </w:p>
    <w:p>
      <w:pPr>
        <w:pStyle w:val="Heading2"/>
      </w:pPr>
      <w:r>
        <w:t>Source and reproducibility</w:t>
      </w:r>
    </w:p>
    <w:p>
      <w:r>
        <w:t>Primary source: data/stories_transactions.csv in the Stories Hackathon project. Garden has 17,833 units across 11,163 transactions in the six-month window. The cost scenarios match all 45 Garden products to the same named products at Harbour and Uptown.</w:t>
      </w:r>
    </w:p>
    <w:p>
      <w:r>
        <w:t>The revised cost_gap_scenarios.py, price_matching.py, discount_comparison.py and feasibility.py scripts correct the interpretation and support the calculation. consolidated.py recomputes all 16 scenarios directly from the source file and produces the common sensitivity grid. Assertions check baseline accounting, matched coverage, price ordering, decomposition, break-even identities and the requested Harbour 25% example.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6"/>
        <w:gridCol w:w="5832"/>
      </w:tblGrid>
      <w:tr>
        <w:trPr>
          <w:cantSplit/>
          <w:tblHeader/>
        </w:trPr>
        <w:tc>
          <w:tcPr>
            <w:tcW w:type="dxa" w:w="4536"/>
            <w:vAlign w:val="center"/>
            <w:tcMar>
              <w:top w:w="65" w:type="dxa"/>
              <w:bottom w:w="65" w:type="dxa"/>
              <w:left w:w="85" w:type="dxa"/>
              <w:right w:w="85" w:type="dxa"/>
            </w:tcMar>
            <w:shd w:fill="20384A"/>
          </w:tcPr>
          <w:p>
            <w:pPr>
              <w:spacing w:after="0" w:line="240" w:lineRule="auto"/>
              <w:jc w:val="left"/>
            </w:pPr>
            <w:r>
              <w:rPr>
                <w:b/>
                <w:color w:val="FFFFFF"/>
                <w:sz w:val="21"/>
              </w:rPr>
              <w:t>Supporting file in outputs/decision</w:t>
            </w:r>
          </w:p>
        </w:tc>
        <w:tc>
          <w:tcPr>
            <w:tcW w:type="dxa" w:w="5832"/>
            <w:vAlign w:val="center"/>
            <w:tcMar>
              <w:top w:w="65" w:type="dxa"/>
              <w:bottom w:w="65" w:type="dxa"/>
              <w:left w:w="85" w:type="dxa"/>
              <w:right w:w="85" w:type="dxa"/>
            </w:tcMar>
            <w:shd w:fill="20384A"/>
          </w:tcPr>
          <w:p>
            <w:pPr>
              <w:spacing w:after="0" w:line="240" w:lineRule="auto"/>
              <w:jc w:val="left"/>
            </w:pPr>
            <w:r>
              <w:rPr>
                <w:b/>
                <w:color w:val="FFFFFF"/>
                <w:sz w:val="21"/>
              </w:rPr>
              <w:t>Contents</w:t>
            </w:r>
          </w:p>
        </w:tc>
      </w:tr>
      <w:tr>
        <w:trPr>
          <w:cantSplit/>
        </w:trPr>
        <w:tc>
          <w:tcPr>
            <w:tcW w:type="dxa" w:w="4536"/>
            <w:vAlign w:val="center"/>
            <w:tcMar>
              <w:top w:w="65" w:type="dxa"/>
              <w:bottom w:w="65" w:type="dxa"/>
              <w:left w:w="85" w:type="dxa"/>
              <w:right w:w="85" w:type="dxa"/>
            </w:tcMar>
            <w:shd w:fill="FFFFFF"/>
          </w:tcPr>
          <w:p>
            <w:pPr>
              <w:spacing w:after="0" w:line="240" w:lineRule="auto"/>
              <w:jc w:val="left"/>
            </w:pPr>
            <w:r>
              <w:rPr>
                <w:b w:val="0"/>
                <w:color w:val="000000"/>
                <w:sz w:val="21"/>
              </w:rPr>
              <w:t>consolidated_scenarios.csv</w:t>
            </w:r>
          </w:p>
        </w:tc>
        <w:tc>
          <w:tcPr>
            <w:tcW w:type="dxa" w:w="5832"/>
            <w:vAlign w:val="center"/>
            <w:tcMar>
              <w:top w:w="65" w:type="dxa"/>
              <w:bottom w:w="65" w:type="dxa"/>
              <w:left w:w="85" w:type="dxa"/>
              <w:right w:w="85" w:type="dxa"/>
            </w:tcMar>
            <w:shd w:fill="FFFFFF"/>
          </w:tcPr>
          <w:p>
            <w:pPr>
              <w:spacing w:after="0" w:line="240" w:lineRule="auto"/>
              <w:jc w:val="left"/>
            </w:pPr>
            <w:r>
              <w:rPr>
                <w:b w:val="0"/>
                <w:color w:val="000000"/>
                <w:sz w:val="21"/>
              </w:rPr>
              <w:t>All 16 alternatives, Gₛ, benefits, evidence conditions and break-even levels</w:t>
            </w:r>
          </w:p>
        </w:tc>
      </w:tr>
      <w:tr>
        <w:trPr>
          <w:cantSplit/>
        </w:trPr>
        <w:tc>
          <w:tcPr>
            <w:tcW w:type="dxa" w:w="4536"/>
            <w:vAlign w:val="center"/>
            <w:tcMar>
              <w:top w:w="65" w:type="dxa"/>
              <w:bottom w:w="65" w:type="dxa"/>
              <w:left w:w="85" w:type="dxa"/>
              <w:right w:w="85" w:type="dxa"/>
            </w:tcMar>
            <w:shd w:fill="F0F4F7"/>
          </w:tcPr>
          <w:p>
            <w:pPr>
              <w:spacing w:after="0" w:line="240" w:lineRule="auto"/>
              <w:jc w:val="left"/>
            </w:pPr>
            <w:r>
              <w:rPr>
                <w:b w:val="0"/>
                <w:color w:val="000000"/>
                <w:sz w:val="21"/>
              </w:rPr>
              <w:t>break_even_volume.csv</w:t>
            </w:r>
          </w:p>
        </w:tc>
        <w:tc>
          <w:tcPr>
            <w:tcW w:type="dxa" w:w="5832"/>
            <w:vAlign w:val="center"/>
            <w:tcMar>
              <w:top w:w="65" w:type="dxa"/>
              <w:bottom w:w="65" w:type="dxa"/>
              <w:left w:w="85" w:type="dxa"/>
              <w:right w:w="85" w:type="dxa"/>
            </w:tcMar>
            <w:shd w:fill="F0F4F7"/>
          </w:tcPr>
          <w:p>
            <w:pPr>
              <w:spacing w:after="0" w:line="240" w:lineRule="auto"/>
              <w:jc w:val="left"/>
            </w:pPr>
            <w:r>
              <w:rPr>
                <w:b w:val="0"/>
                <w:color w:val="000000"/>
                <w:sz w:val="21"/>
              </w:rPr>
              <w:t>Minimum volume for each action at four expense levels</w:t>
            </w:r>
          </w:p>
        </w:tc>
      </w:tr>
      <w:tr>
        <w:trPr>
          <w:cantSplit/>
        </w:trPr>
        <w:tc>
          <w:tcPr>
            <w:tcW w:type="dxa" w:w="4536"/>
            <w:vAlign w:val="center"/>
            <w:tcMar>
              <w:top w:w="65" w:type="dxa"/>
              <w:bottom w:w="65" w:type="dxa"/>
              <w:left w:w="85" w:type="dxa"/>
              <w:right w:w="85" w:type="dxa"/>
            </w:tcMar>
            <w:shd w:fill="FFFFFF"/>
          </w:tcPr>
          <w:p>
            <w:pPr>
              <w:spacing w:after="0" w:line="240" w:lineRule="auto"/>
              <w:jc w:val="left"/>
            </w:pPr>
            <w:r>
              <w:rPr>
                <w:b w:val="0"/>
                <w:color w:val="000000"/>
                <w:sz w:val="21"/>
              </w:rPr>
              <w:t>maximum_implementation_expenses.csv</w:t>
            </w:r>
          </w:p>
        </w:tc>
        <w:tc>
          <w:tcPr>
            <w:tcW w:type="dxa" w:w="5832"/>
            <w:vAlign w:val="center"/>
            <w:tcMar>
              <w:top w:w="65" w:type="dxa"/>
              <w:bottom w:w="65" w:type="dxa"/>
              <w:left w:w="85" w:type="dxa"/>
              <w:right w:w="85" w:type="dxa"/>
            </w:tcMar>
            <w:shd w:fill="FFFFFF"/>
          </w:tcPr>
          <w:p>
            <w:pPr>
              <w:spacing w:after="0" w:line="240" w:lineRule="auto"/>
              <w:jc w:val="left"/>
            </w:pPr>
            <w:r>
              <w:rPr>
                <w:b w:val="0"/>
                <w:color w:val="000000"/>
                <w:sz w:val="21"/>
              </w:rPr>
              <w:t>Kmax for each action at six volume levels</w:t>
            </w:r>
          </w:p>
        </w:tc>
      </w:tr>
      <w:tr>
        <w:trPr>
          <w:cantSplit/>
        </w:trPr>
        <w:tc>
          <w:tcPr>
            <w:tcW w:type="dxa" w:w="4536"/>
            <w:vAlign w:val="center"/>
            <w:tcMar>
              <w:top w:w="65" w:type="dxa"/>
              <w:bottom w:w="65" w:type="dxa"/>
              <w:left w:w="85" w:type="dxa"/>
              <w:right w:w="85" w:type="dxa"/>
            </w:tcMar>
            <w:shd w:fill="F0F4F7"/>
          </w:tcPr>
          <w:p>
            <w:pPr>
              <w:spacing w:after="0" w:line="240" w:lineRule="auto"/>
              <w:jc w:val="left"/>
            </w:pPr>
            <w:r>
              <w:rPr>
                <w:b w:val="0"/>
                <w:color w:val="000000"/>
                <w:sz w:val="21"/>
              </w:rPr>
              <w:t>sensitivity_long.csv</w:t>
            </w:r>
          </w:p>
        </w:tc>
        <w:tc>
          <w:tcPr>
            <w:tcW w:type="dxa" w:w="5832"/>
            <w:vAlign w:val="center"/>
            <w:tcMar>
              <w:top w:w="65" w:type="dxa"/>
              <w:bottom w:w="65" w:type="dxa"/>
              <w:left w:w="85" w:type="dxa"/>
              <w:right w:w="85" w:type="dxa"/>
            </w:tcMar>
            <w:shd w:fill="F0F4F7"/>
          </w:tcPr>
          <w:p>
            <w:pPr>
              <w:spacing w:after="0" w:line="240" w:lineRule="auto"/>
              <w:jc w:val="left"/>
            </w:pPr>
            <w:r>
              <w:rPr>
                <w:b w:val="0"/>
                <w:color w:val="000000"/>
                <w:sz w:val="21"/>
              </w:rPr>
              <w:t>All 384 scenario × volume × expense calculations</w:t>
            </w:r>
          </w:p>
        </w:tc>
      </w:tr>
      <w:tr>
        <w:trPr>
          <w:cantSplit/>
        </w:trPr>
        <w:tc>
          <w:tcPr>
            <w:tcW w:type="dxa" w:w="4536"/>
            <w:vAlign w:val="center"/>
            <w:tcMar>
              <w:top w:w="65" w:type="dxa"/>
              <w:bottom w:w="65" w:type="dxa"/>
              <w:left w:w="85" w:type="dxa"/>
              <w:right w:w="85" w:type="dxa"/>
            </w:tcMar>
            <w:shd w:fill="FFFFFF"/>
          </w:tcPr>
          <w:p>
            <w:pPr>
              <w:spacing w:after="0" w:line="240" w:lineRule="auto"/>
              <w:jc w:val="left"/>
            </w:pPr>
            <w:r>
              <w:rPr>
                <w:b w:val="0"/>
                <w:color w:val="000000"/>
                <w:sz w:val="21"/>
              </w:rPr>
              <w:t>pairwise_action_thresholds.csv</w:t>
            </w:r>
          </w:p>
        </w:tc>
        <w:tc>
          <w:tcPr>
            <w:tcW w:type="dxa" w:w="5832"/>
            <w:vAlign w:val="center"/>
            <w:tcMar>
              <w:top w:w="65" w:type="dxa"/>
              <w:bottom w:w="65" w:type="dxa"/>
              <w:left w:w="85" w:type="dxa"/>
              <w:right w:w="85" w:type="dxa"/>
            </w:tcMar>
            <w:shd w:fill="FFFFFF"/>
          </w:tcPr>
          <w:p>
            <w:pPr>
              <w:spacing w:after="0" w:line="240" w:lineRule="auto"/>
              <w:jc w:val="left"/>
            </w:pPr>
            <w:r>
              <w:rPr>
                <w:b w:val="0"/>
                <w:color w:val="000000"/>
                <w:sz w:val="21"/>
              </w:rPr>
              <w:t>Switching thresholds when actions retain different volumes or incur different expenses</w:t>
            </w:r>
          </w:p>
        </w:tc>
      </w:tr>
      <w:tr>
        <w:trPr>
          <w:cantSplit/>
        </w:trPr>
        <w:tc>
          <w:tcPr>
            <w:tcW w:type="dxa" w:w="4536"/>
            <w:vAlign w:val="center"/>
            <w:tcMar>
              <w:top w:w="65" w:type="dxa"/>
              <w:bottom w:w="65" w:type="dxa"/>
              <w:left w:w="85" w:type="dxa"/>
              <w:right w:w="85" w:type="dxa"/>
            </w:tcMar>
            <w:shd w:fill="F0F4F7"/>
          </w:tcPr>
          <w:p>
            <w:pPr>
              <w:spacing w:after="0" w:line="240" w:lineRule="auto"/>
              <w:jc w:val="left"/>
            </w:pPr>
            <w:r>
              <w:rPr>
                <w:b w:val="0"/>
                <w:color w:val="000000"/>
                <w:sz w:val="21"/>
              </w:rPr>
              <w:t>assumptions_register.csv</w:t>
            </w:r>
          </w:p>
        </w:tc>
        <w:tc>
          <w:tcPr>
            <w:tcW w:type="dxa" w:w="5832"/>
            <w:vAlign w:val="center"/>
            <w:tcMar>
              <w:top w:w="65" w:type="dxa"/>
              <w:bottom w:w="65" w:type="dxa"/>
              <w:left w:w="85" w:type="dxa"/>
              <w:right w:w="85" w:type="dxa"/>
            </w:tcMar>
            <w:shd w:fill="F0F4F7"/>
          </w:tcPr>
          <w:p>
            <w:pPr>
              <w:spacing w:after="0" w:line="240" w:lineRule="auto"/>
              <w:jc w:val="left"/>
            </w:pPr>
            <w:r>
              <w:rPr>
                <w:b w:val="0"/>
                <w:color w:val="000000"/>
                <w:sz w:val="21"/>
              </w:rPr>
              <w:t>Assumptions and evidence limits used in this section</w:t>
            </w:r>
          </w:p>
        </w:tc>
      </w:tr>
      <w:tr>
        <w:trPr>
          <w:cantSplit/>
        </w:trPr>
        <w:tc>
          <w:tcPr>
            <w:tcW w:type="dxa" w:w="4536"/>
            <w:vAlign w:val="center"/>
            <w:tcMar>
              <w:top w:w="65" w:type="dxa"/>
              <w:bottom w:w="65" w:type="dxa"/>
              <w:left w:w="85" w:type="dxa"/>
              <w:right w:w="85" w:type="dxa"/>
            </w:tcMar>
            <w:shd w:fill="FFFFFF"/>
          </w:tcPr>
          <w:p>
            <w:pPr>
              <w:spacing w:after="0" w:line="240" w:lineRule="auto"/>
              <w:jc w:val="left"/>
            </w:pPr>
            <w:r>
              <w:rPr>
                <w:b w:val="0"/>
                <w:color w:val="000000"/>
                <w:sz w:val="21"/>
              </w:rPr>
              <w:t>calculation_validation.json</w:t>
            </w:r>
          </w:p>
        </w:tc>
        <w:tc>
          <w:tcPr>
            <w:tcW w:type="dxa" w:w="5832"/>
            <w:vAlign w:val="center"/>
            <w:tcMar>
              <w:top w:w="65" w:type="dxa"/>
              <w:bottom w:w="65" w:type="dxa"/>
              <w:left w:w="85" w:type="dxa"/>
              <w:right w:w="85" w:type="dxa"/>
            </w:tcMar>
            <w:shd w:fill="FFFFFF"/>
          </w:tcPr>
          <w:p>
            <w:pPr>
              <w:spacing w:after="0" w:line="240" w:lineRule="auto"/>
              <w:jc w:val="left"/>
            </w:pPr>
            <w:r>
              <w:rPr>
                <w:b w:val="0"/>
                <w:color w:val="000000"/>
                <w:sz w:val="21"/>
              </w:rPr>
              <w:t>Inputs, period, rounding policy and passed numerical checks</w:t>
            </w:r>
          </w:p>
        </w:tc>
      </w:tr>
    </w:tbl>
    <w:p>
      <w:pPr>
        <w:spacing w:after="0"/>
      </w:pPr>
    </w:p>
    <w:p>
      <w:r>
        <w:t>All table amounts derive from the project data. Supplier feasibility, expense levels, volume stress levels and proposed trial tolerances are kept distinct from observations. No annualized gains or customer-response estimates are claimed.</w:t>
      </w:r>
    </w:p>
    <w:p>
      <w:r>
        <w:rPr>
          <w:sz w:val="16"/>
        </w:rPr>
        <w:t>Source SHA-256: f1672e728c28295b2b802d878fd38a158ba039827b429355e8438ee0463237a1</w:t>
      </w:r>
    </w:p>
    <w:p>
      <w:r>
        <w:t>Prepared as a local Word section for insertion into the shared project document. The project-wide final evaluation is a separate next step.</w:t>
      </w:r>
    </w:p>
    <w:sectPr w:rsidR="00FC693F" w:rsidRPr="0006063C" w:rsidSect="00034616">
      <w:headerReference w:type="default" r:id="rId9"/>
      <w:footerReference w:type="default" r:id="rId10"/>
      <w:pgSz w:w="12240" w:h="15840"/>
      <w:pgMar w:top="893" w:right="936" w:bottom="893"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January to June 2026 analysis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STORIES  |  GARDEN BRANCH  |  PERSON 3 DECISION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Garden action decision and validation plan</dc:title>
  <dc:subject>Person 3 scenario decision analysis</dc:subject>
  <dc:creator>Stories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