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Supervisory Review of Draft Empirical Chapters 3–5</w:t>
      </w:r>
    </w:p>
    <w:p>
      <w:pPr>
        <w:spacing w:after="80"/>
        <w:jc w:val="center"/>
      </w:pPr>
      <w:r>
        <w:rPr>
          <w:i/>
          <w:iCs/>
          <w:sz w:val="24"/>
          <w:szCs w:val="24"/>
        </w:rPr>
        <w:t xml:space="preserve">“Do Sukuk Markets Rationally Price Embedded Structural and Sustainability Features? Cross-Regional Evidence from GCC and ASEAN”</w:t>
      </w:r>
    </w:p>
    <w:p>
      <w:pPr>
        <w:spacing w:after="240"/>
        <w:jc w:val="center"/>
      </w:pPr>
      <w:r>
        <w:rPr>
          <w:color w:val="595959"/>
          <w:sz w:val="20"/>
          <w:szCs w:val="20"/>
        </w:rPr>
        <w:t xml:space="preserve">Candidate: Junyuan An   ·   Draft circulated September 2026   ·   Review dated 29 September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EEF3F8" w:color="auto" w:val="clear"/>
            <w:tcMar>
              <w:top w:type="dxa" w:w="120"/>
              <w:left w:type="dxa" w:w="180"/>
              <w:bottom w:type="dxa" w:w="120"/>
              <w:right w:type="dxa" w:w="180"/>
            </w:tcMar>
          </w:tcPr>
          <w:p>
            <w:pPr>
              <w:spacing w:after="80"/>
            </w:pPr>
            <w:r>
              <w:rPr>
                <w:b/>
                <w:bCs/>
              </w:rPr>
              <w:t xml:space="preserve">How to read this review</w:t>
            </w:r>
          </w:p>
          <w:p>
            <w:pPr>
              <w:spacing w:after="60" w:line="264"/>
            </w:pPr>
            <w:r>
              <w:rPr>
                <w:b/>
                <w:bCs/>
              </w:rPr>
              <w:t xml:space="preserve">Page references.</w:t>
            </w:r>
            <w:r>
              <w:t xml:space="preserve"> “p. 32” means the page of the circulated Word file as Word last paginated it (title page = p. 1; the file has 113 pages). If your copy re-flows, use the section number, which is always given alongside.</w:t>
            </w:r>
          </w:p>
          <w:p>
            <w:pPr>
              <w:spacing w:after="60" w:line="264"/>
            </w:pPr>
            <w:r>
              <w:rPr>
                <w:b/>
                <w:bCs/>
              </w:rPr>
              <w:t xml:space="preserve">Severity.</w:t>
            </w:r>
            <w:r>
              <w:t xml:space="preserve"> [Critical] must be resolved before examination; [Major] materially weakens the argument; [Minor] presentation or accuracy fix.</w:t>
            </w:r>
          </w:p>
          <w:p>
            <w:pPr>
              <w:spacing w:after="60" w:line="264"/>
            </w:pPr>
            <w:r>
              <w:rPr>
                <w:b/>
                <w:bCs/>
              </w:rPr>
              <w:t xml:space="preserve">Verification.</w:t>
            </w:r>
            <w:r>
              <w:t xml:space="preserve"> Where I say a figure is inconsistent, I have recomputed it from the draft’s own tables. Where I comment on a cited study, I have checked the claim against the published abstract or full text; those checks are listed in Appendix 2 of this review.</w:t>
            </w:r>
          </w:p>
          <w:p>
            <w:pPr>
              <w:spacing w:after="60" w:line="264"/>
            </w:pPr>
            <w:r>
              <w:rPr>
                <w:b/>
                <w:bCs/>
              </w:rPr>
              <w:t xml:space="preserve">Frame.</w:t>
            </w:r>
            <w:r>
              <w:t xml:space="preserve"> The review is organised around the two research objectives you set: (a) to examine the yield difference between feature-bearing sukuk (ESG/green-labelled, putable, callable, perpetual) and plain-vanilla sukuk; and (b) to investigate the determinants of those differences.</w:t>
            </w:r>
          </w:p>
        </w:tc>
      </w:tr>
    </w:tbl>
    <w:p>
      <w:pPr>
        <w:spacing w:after="60"/>
      </w:pPr>
    </w:p>
    <w:p>
      <w:pPr>
        <w:spacing w:after="80" w:before="120"/>
      </w:pPr>
      <w:r>
        <w:rPr>
          <w:b/>
          <w:bCs/>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7F7F7F"/>
          <w:sz w:val="18"/>
          <w:szCs w:val="18"/>
        </w:rPr>
        <w:t xml:space="preserve">(If the contents list is empty, right-click it in Word and choose “Update Field”.)</w:t>
      </w:r>
    </w:p>
    <w:p>
      <w:r>
        <w:br w:type="page"/>
      </w:r>
    </w:p>
    <w:p>
      <w:pPr>
        <w:pStyle w:val="Heading1"/>
        <w:spacing w:after="160" w:before="360"/>
      </w:pPr>
      <w:r>
        <w:t xml:space="preserve">1. Overall assessment</w:t>
      </w:r>
    </w:p>
    <w:p>
      <w:pPr>
        <w:spacing w:after="120" w:line="276"/>
      </w:pPr>
      <w:r>
        <w:rPr>
          <w:b/>
          <w:bCs/>
        </w:rPr>
        <w:t xml:space="preserve">Verdict: major revision. The chapters are not yet ready for examination.</w:t>
      </w:r>
    </w:p>
    <w:p>
      <w:pPr>
        <w:spacing w:after="120" w:line="276"/>
      </w:pPr>
      <w:r>
        <w:t xml:space="preserve">There is real scholarship here. The inference is well suited to a small number of pairs. The distinction between the pair-level and panel-level estimands (§3.2, pp. 4–7) is correct and well argued. The draft is unusually open about what the data can and cannot support, and the AT1 result is potentially publishable. None of that is in question.</w:t>
      </w:r>
    </w:p>
    <w:p>
      <w:pPr>
        <w:spacing w:after="120" w:line="276"/>
      </w:pPr>
      <w:r>
        <w:t xml:space="preserve">The problem is that the reader cannot find the argument. You described feeling lost when reading, and that is exactly how an examiner will experience it. The draft reads as a ledger of what was retrieved, re-run, corrected and reconciled, and when. It does not read as an argument about how sukuk markets price features. The symptoms can be counted:</w:t>
      </w:r>
    </w:p>
    <w:p>
      <w:pPr>
        <w:pStyle w:val="ListParagraph"/>
        <w:numPr>
          <w:ilvl w:val="0"/>
          <w:numId w:val="2"/>
        </w:numPr>
        <w:spacing w:after="80" w:line="264"/>
      </w:pPr>
      <w:r>
        <w:t xml:space="preserve">“September” appears 69 times, “benchmark” 54 times, and “panel as first assembled” 15 times. These words describe the history of the data work, not the economics.</w:t>
      </w:r>
    </w:p>
    <w:p>
      <w:pPr>
        <w:pStyle w:val="ListParagraph"/>
        <w:numPr>
          <w:ilvl w:val="0"/>
          <w:numId w:val="2"/>
        </w:numPr>
        <w:spacing w:after="80" w:line="264"/>
      </w:pPr>
      <w:r>
        <w:t xml:space="preserve">There are 131 cross-references of the form “Section x.y”. Almost every paragraph sends the reader somewhere else before it has made its own point.</w:t>
      </w:r>
    </w:p>
    <w:p>
      <w:pPr>
        <w:pStyle w:val="ListParagraph"/>
        <w:numPr>
          <w:ilvl w:val="0"/>
          <w:numId w:val="2"/>
        </w:numPr>
        <w:spacing w:after="80" w:line="264"/>
      </w:pPr>
      <w:r>
        <w:t xml:space="preserve">The thesis refers the reader to a “separately circulated scope and title note” and to “Decision 2–6” (§3.5, p. 11; §3.13, p. 21; Table 3.2, pp. 25–26). An examiner has no access to that note.</w:t>
      </w:r>
    </w:p>
    <w:p>
      <w:pPr>
        <w:pStyle w:val="ListParagraph"/>
        <w:numPr>
          <w:ilvl w:val="0"/>
          <w:numId w:val="2"/>
        </w:numPr>
        <w:spacing w:after="80" w:line="264"/>
      </w:pPr>
      <w:r>
        <w:t xml:space="preserve">Results are organised by when the data arrived (the final sample in §§4.2–4.11, pp. 30–51, then a 22-page re-run of the superseded benchmark in §4.12, pp. 51–72). They are not organised by research objective.</w:t>
      </w:r>
    </w:p>
    <w:p>
      <w:pPr>
        <w:pStyle w:val="ListParagraph"/>
        <w:numPr>
          <w:ilvl w:val="0"/>
          <w:numId w:val="2"/>
        </w:numPr>
        <w:spacing w:after="80" w:line="264"/>
      </w:pPr>
      <w:r>
        <w:t xml:space="preserve">Half of the stated research problem, objective (b) on determinants, is not estimated. It is deferred to “supervisory decision” (§3.13, pp. 21–22).</w:t>
      </w:r>
    </w:p>
    <w:p>
      <w:pPr>
        <w:spacing w:after="120" w:line="276"/>
      </w:pPr>
      <w:r>
        <w:t xml:space="preserve">Four substantive problems sit underneath the presentation problem. Each is developed below:</w:t>
      </w:r>
    </w:p>
    <w:p>
      <w:pPr>
        <w:pStyle w:val="ListParagraph"/>
        <w:numPr>
          <w:ilvl w:val="0"/>
          <w:numId w:val="3"/>
        </w:numPr>
        <w:spacing w:after="80" w:line="264"/>
      </w:pPr>
      <w:r>
        <w:rPr>
          <w:b/>
          <w:bCs/>
        </w:rPr>
        <w:t xml:space="preserve">Objective (b) is not addressed.</w:t>
      </w:r>
      <w:r>
        <w:t xml:space="preserve"> No determinants model is estimated, although the September 2026 data now make one feasible (Section 2 of this review).</w:t>
      </w:r>
    </w:p>
    <w:p>
      <w:pPr>
        <w:pStyle w:val="ListParagraph"/>
        <w:numPr>
          <w:ilvl w:val="0"/>
          <w:numId w:val="3"/>
        </w:numPr>
        <w:spacing w:after="80" w:line="264"/>
      </w:pPr>
      <w:r>
        <w:rPr>
          <w:b/>
          <w:bCs/>
        </w:rPr>
        <w:t xml:space="preserve">The confirmatory framework drifted after the results were seen.</w:t>
      </w:r>
      <w:r>
        <w:t xml:space="preserve"> On the pre-specified January 2020 – June 2025 window, </w:t>
      </w:r>
      <w:r>
        <w:rPr>
          <w:b/>
          <w:bCs/>
        </w:rPr>
        <w:t xml:space="preserve">no hypothesis survives Holm adjustment</w:t>
      </w:r>
      <w:r>
        <w:t xml:space="preserve">. The headline H1b result (Holm p = 0.0350) holds only on the extended horizon, which was adopted as the “primary basis” after the benchmark results were known (§3.1, p. 3; Table 4.8, p. 50).</w:t>
      </w:r>
    </w:p>
    <w:p>
      <w:pPr>
        <w:pStyle w:val="ListParagraph"/>
        <w:numPr>
          <w:ilvl w:val="0"/>
          <w:numId w:val="3"/>
        </w:numPr>
        <w:spacing w:after="80" w:line="264"/>
      </w:pPr>
      <w:r>
        <w:rPr>
          <w:b/>
          <w:bCs/>
        </w:rPr>
        <w:t xml:space="preserve">The AT1 estimate is not yet separated from issuer credit risk.</w:t>
      </w:r>
      <w:r>
        <w:t xml:space="preserve"> The rating term is dropped for unrated AT1 instruments, so controls are often sovereign or quasi-sovereign senior paper from other countries (Table 4.3, pp. 36–37).</w:t>
      </w:r>
    </w:p>
    <w:p>
      <w:pPr>
        <w:pStyle w:val="ListParagraph"/>
        <w:numPr>
          <w:ilvl w:val="0"/>
          <w:numId w:val="3"/>
        </w:numPr>
        <w:spacing w:after="80" w:line="264"/>
      </w:pPr>
      <w:r>
        <w:rPr>
          <w:b/>
          <w:bCs/>
        </w:rPr>
        <w:t xml:space="preserve">The results contain numerical inconsistencies, and parts of the discussion are out of date.</w:t>
      </w:r>
      <w:r>
        <w:t xml:space="preserve"> At least 15 internal contradictions, and discussion paragraphs written for the benchmark sample, sit beside the final results (Section 4.2 of this review).</w:t>
      </w:r>
    </w:p>
    <w:p>
      <w:pPr>
        <w:pStyle w:val="Heading2"/>
        <w:spacing w:after="120" w:before="240"/>
      </w:pPr>
      <w:r>
        <w:t xml:space="preserve">1.1 What the argument could be</w:t>
      </w:r>
    </w:p>
    <w:p>
      <w:pPr>
        <w:spacing w:after="120" w:line="276"/>
      </w:pPr>
      <w:r>
        <w:t xml:space="preserve">The evidence you already have supports a clear, theory-led storyline. I suggest the chapters be rebuilt around something like the following, so that every table serves a claim:</w:t>
      </w:r>
    </w:p>
    <w:p>
      <w:pPr>
        <w:pBdr>
          <w:left w:val="single" w:color="8EA9C1" w:sz="12" w:space="8"/>
        </w:pBdr>
        <w:spacing w:after="120" w:line="264"/>
        <w:ind w:left="567" w:right="567"/>
      </w:pPr>
      <w:r>
        <w:rPr>
          <w:i/>
          <w:iCs/>
          <w:color w:val="404040"/>
        </w:rPr>
        <w:t xml:space="preserve">Features that change the investor’s payoff in bad states (the subordination, coupon discretion and loss absorption bundled in AT1 sukuk) carry a large yield differential of about 100 bp against senior sukuk. The differential appears both across matched pairs and within the same bank. Features whose option value is economically small in this market carry no detectable differential; most US-dollar “callable” sukuk have only short par calls near maturity. Labels, which change no cash flow, are associated with lower yields only where credibility and a dedicated investor base are concentrated: the Indonesian sovereign programme, and issuers’ own labelled lines. That is consistent with preference- and clientele-based theories, not with a market-wide greenium. The determinants analysis then tests these channels directly: credit, liquidity, option moneyness, verification and issuer type.</w:t>
      </w:r>
    </w:p>
    <w:p>
      <w:pPr>
        <w:spacing w:after="120" w:line="276"/>
      </w:pPr>
      <w:r>
        <w:t xml:space="preserve">Whether or not you adopt this wording, the thesis needs one sentence that it is trying to prove. Each chapter should then test, qualify or explain that sentence.</w:t>
      </w:r>
    </w:p>
    <w:p>
      <w:pPr>
        <w:pStyle w:val="Heading1"/>
        <w:spacing w:after="160" w:before="360"/>
      </w:pPr>
      <w:r>
        <w:t xml:space="preserve">2. Alignment of the design with the research objectives</w:t>
      </w:r>
    </w:p>
    <w:p>
      <w:pPr>
        <w:spacing w:after="120" w:line="276"/>
      </w:pPr>
      <w:r>
        <w:t xml:space="preserve">Table 1 maps each objective to the hypotheses, the method and the location of the evidence, and records whether the draft answers it. This mapping should appear in the thesis itself, as the opening table of Chapter 3. At present the reader has to reconstruct it from §3.1, §3.13 and §4.11.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771"/>
        <w:gridCol w:w="1446"/>
        <w:gridCol w:w="1446"/>
        <w:gridCol w:w="1928"/>
        <w:gridCol w:w="2794"/>
      </w:tblGrid>
      <w:tr>
        <w:trPr>
          <w:tblHeader/>
        </w:trPr>
        <w:tc>
          <w:tcPr>
            <w:tcW w:type="dxa" w:w="1253"/>
            <w:shd w:fill="1F3864" w:color="auto" w:val="clear"/>
            <w:tcMar>
              <w:top w:type="dxa" w:w="60"/>
              <w:left w:type="dxa" w:w="90"/>
              <w:bottom w:type="dxa" w:w="60"/>
              <w:right w:type="dxa" w:w="90"/>
            </w:tcMar>
          </w:tcPr>
          <w:p>
            <w:pPr>
              <w:spacing w:after="40"/>
            </w:pPr>
            <w:r>
              <w:rPr>
                <w:b/>
                <w:bCs/>
                <w:color w:val="FFFFFF"/>
                <w:sz w:val="18"/>
                <w:szCs w:val="18"/>
              </w:rPr>
              <w:t xml:space="preserve">Objective</w:t>
            </w:r>
          </w:p>
        </w:tc>
        <w:tc>
          <w:tcPr>
            <w:tcW w:type="dxa" w:w="771"/>
            <w:shd w:fill="1F3864" w:color="auto" w:val="clear"/>
            <w:tcMar>
              <w:top w:type="dxa" w:w="60"/>
              <w:left w:type="dxa" w:w="90"/>
              <w:bottom w:type="dxa" w:w="60"/>
              <w:right w:type="dxa" w:w="90"/>
            </w:tcMar>
          </w:tcPr>
          <w:p>
            <w:pPr>
              <w:spacing w:after="40"/>
            </w:pPr>
            <w:r>
              <w:rPr>
                <w:b/>
                <w:bCs/>
                <w:color w:val="FFFFFF"/>
                <w:sz w:val="18"/>
                <w:szCs w:val="18"/>
              </w:rPr>
              <w:t xml:space="preserve">Hypothesis</w:t>
            </w:r>
          </w:p>
        </w:tc>
        <w:tc>
          <w:tcPr>
            <w:tcW w:type="dxa" w:w="1446"/>
            <w:shd w:fill="1F3864" w:color="auto" w:val="clear"/>
            <w:tcMar>
              <w:top w:type="dxa" w:w="60"/>
              <w:left w:type="dxa" w:w="90"/>
              <w:bottom w:type="dxa" w:w="60"/>
              <w:right w:type="dxa" w:w="90"/>
            </w:tcMar>
          </w:tcPr>
          <w:p>
            <w:pPr>
              <w:spacing w:after="40"/>
            </w:pPr>
            <w:r>
              <w:rPr>
                <w:b/>
                <w:bCs/>
                <w:color w:val="FFFFFF"/>
                <w:sz w:val="18"/>
                <w:szCs w:val="18"/>
              </w:rPr>
              <w:t xml:space="preserve">Method used</w:t>
            </w:r>
          </w:p>
        </w:tc>
        <w:tc>
          <w:tcPr>
            <w:tcW w:type="dxa" w:w="1446"/>
            <w:shd w:fill="1F3864" w:color="auto" w:val="clear"/>
            <w:tcMar>
              <w:top w:type="dxa" w:w="60"/>
              <w:left w:type="dxa" w:w="90"/>
              <w:bottom w:type="dxa" w:w="60"/>
              <w:right w:type="dxa" w:w="90"/>
            </w:tcMar>
          </w:tcPr>
          <w:p>
            <w:pPr>
              <w:spacing w:after="40"/>
            </w:pPr>
            <w:r>
              <w:rPr>
                <w:b/>
                <w:bCs/>
                <w:color w:val="FFFFFF"/>
                <w:sz w:val="18"/>
                <w:szCs w:val="18"/>
              </w:rPr>
              <w:t xml:space="preserve">Evidence (section, page)</w:t>
            </w:r>
          </w:p>
        </w:tc>
        <w:tc>
          <w:tcPr>
            <w:tcW w:type="dxa" w:w="1928"/>
            <w:shd w:fill="1F3864" w:color="auto" w:val="clear"/>
            <w:tcMar>
              <w:top w:type="dxa" w:w="60"/>
              <w:left w:type="dxa" w:w="90"/>
              <w:bottom w:type="dxa" w:w="60"/>
              <w:right w:type="dxa" w:w="90"/>
            </w:tcMar>
          </w:tcPr>
          <w:p>
            <w:pPr>
              <w:spacing w:after="40"/>
            </w:pPr>
            <w:r>
              <w:rPr>
                <w:b/>
                <w:bCs/>
                <w:color w:val="FFFFFF"/>
                <w:sz w:val="18"/>
                <w:szCs w:val="18"/>
              </w:rPr>
              <w:t xml:space="preserve">Status</w:t>
            </w:r>
          </w:p>
        </w:tc>
        <w:tc>
          <w:tcPr>
            <w:tcW w:type="dxa" w:w="2794"/>
            <w:shd w:fill="1F3864" w:color="auto" w:val="clear"/>
            <w:tcMar>
              <w:top w:type="dxa" w:w="60"/>
              <w:left w:type="dxa" w:w="90"/>
              <w:bottom w:type="dxa" w:w="60"/>
              <w:right w:type="dxa" w:w="90"/>
            </w:tcMar>
          </w:tcPr>
          <w:p>
            <w:pPr>
              <w:spacing w:after="40"/>
            </w:pPr>
            <w:r>
              <w:rPr>
                <w:b/>
                <w:bCs/>
                <w:color w:val="FFFFFF"/>
                <w:sz w:val="18"/>
                <w:szCs w:val="18"/>
              </w:rPr>
              <w:t xml:space="preserve">Gap / action</w:t>
            </w:r>
          </w:p>
        </w:tc>
      </w:tr>
      <w:tr>
        <w:tc>
          <w:tcPr>
            <w:tcW w:type="dxa" w:w="1253"/>
            <w:tcMar>
              <w:top w:type="dxa" w:w="60"/>
              <w:left w:type="dxa" w:w="90"/>
              <w:bottom w:type="dxa" w:w="60"/>
              <w:right w:type="dxa" w:w="90"/>
            </w:tcMar>
          </w:tcPr>
          <w:p>
            <w:pPr>
              <w:spacing w:after="40"/>
            </w:pPr>
            <w:r>
              <w:rPr>
                <w:sz w:val="18"/>
                <w:szCs w:val="18"/>
              </w:rPr>
              <w:t xml:space="preserve">(a) Callable vs plain</w:t>
            </w:r>
          </w:p>
        </w:tc>
        <w:tc>
          <w:tcPr>
            <w:tcW w:type="dxa" w:w="771"/>
            <w:tcMar>
              <w:top w:type="dxa" w:w="60"/>
              <w:left w:type="dxa" w:w="90"/>
              <w:bottom w:type="dxa" w:w="60"/>
              <w:right w:type="dxa" w:w="90"/>
            </w:tcMar>
          </w:tcPr>
          <w:p>
            <w:pPr>
              <w:spacing w:after="40"/>
            </w:pPr>
            <w:r>
              <w:rPr>
                <w:sz w:val="18"/>
                <w:szCs w:val="18"/>
              </w:rPr>
              <w:t xml:space="preserve">H1a (+)</w:t>
            </w:r>
          </w:p>
        </w:tc>
        <w:tc>
          <w:tcPr>
            <w:tcW w:type="dxa" w:w="1446"/>
            <w:tcMar>
              <w:top w:type="dxa" w:w="60"/>
              <w:left w:type="dxa" w:w="90"/>
              <w:bottom w:type="dxa" w:w="60"/>
              <w:right w:type="dxa" w:w="90"/>
            </w:tcMar>
          </w:tcPr>
          <w:p>
            <w:pPr>
              <w:spacing w:after="40"/>
            </w:pPr>
            <w:r>
              <w:rPr>
                <w:sz w:val="18"/>
                <w:szCs w:val="18"/>
              </w:rPr>
              <w:t xml:space="preserve">Matched pairs; equal-pair mean; sign-flip</w:t>
            </w:r>
          </w:p>
        </w:tc>
        <w:tc>
          <w:tcPr>
            <w:tcW w:type="dxa" w:w="1446"/>
            <w:tcMar>
              <w:top w:type="dxa" w:w="60"/>
              <w:left w:type="dxa" w:w="90"/>
              <w:bottom w:type="dxa" w:w="60"/>
              <w:right w:type="dxa" w:w="90"/>
            </w:tcMar>
          </w:tcPr>
          <w:p>
            <w:pPr>
              <w:spacing w:after="40"/>
            </w:pPr>
            <w:r>
              <w:rPr>
                <w:sz w:val="18"/>
                <w:szCs w:val="18"/>
              </w:rPr>
              <w:t xml:space="preserve">§4.3, p. 31; Table 4.1, p. 35</w:t>
            </w:r>
          </w:p>
        </w:tc>
        <w:tc>
          <w:tcPr>
            <w:tcW w:type="dxa" w:w="1928"/>
            <w:tcMar>
              <w:top w:type="dxa" w:w="60"/>
              <w:left w:type="dxa" w:w="90"/>
              <w:bottom w:type="dxa" w:w="60"/>
              <w:right w:type="dxa" w:w="90"/>
            </w:tcMar>
          </w:tcPr>
          <w:p>
            <w:pPr>
              <w:spacing w:after="40"/>
            </w:pPr>
            <w:r>
              <w:rPr>
                <w:sz w:val="18"/>
                <w:szCs w:val="18"/>
              </w:rPr>
              <w:t xml:space="preserve">Answered: no detectable differential (+39.3 bp, p = 0.245)</w:t>
            </w:r>
          </w:p>
        </w:tc>
        <w:tc>
          <w:tcPr>
            <w:tcW w:type="dxa" w:w="2794"/>
            <w:tcMar>
              <w:top w:type="dxa" w:w="60"/>
              <w:left w:type="dxa" w:w="90"/>
              <w:bottom w:type="dxa" w:w="60"/>
              <w:right w:type="dxa" w:w="90"/>
            </w:tcMar>
          </w:tcPr>
          <w:p>
            <w:pPr>
              <w:spacing w:after="40"/>
            </w:pPr>
            <w:r>
              <w:rPr>
                <w:sz w:val="18"/>
                <w:szCs w:val="18"/>
              </w:rPr>
              <w:t xml:space="preserve">Answer is informative only with the call-structure census (§4.9, p. 47), whose claim needs correcting (Section 4.2).</w:t>
            </w:r>
          </w:p>
        </w:tc>
      </w:tr>
      <w:tr>
        <w:tc>
          <w:tcPr>
            <w:tcW w:type="dxa" w:w="1253"/>
            <w:tcMar>
              <w:top w:type="dxa" w:w="60"/>
              <w:left w:type="dxa" w:w="90"/>
              <w:bottom w:type="dxa" w:w="60"/>
              <w:right w:type="dxa" w:w="90"/>
            </w:tcMar>
          </w:tcPr>
          <w:p>
            <w:pPr>
              <w:spacing w:after="40"/>
            </w:pPr>
            <w:r>
              <w:rPr>
                <w:sz w:val="18"/>
                <w:szCs w:val="18"/>
              </w:rPr>
              <w:t xml:space="preserve">(a) Perpetual / AT1 vs plain</w:t>
            </w:r>
          </w:p>
        </w:tc>
        <w:tc>
          <w:tcPr>
            <w:tcW w:type="dxa" w:w="771"/>
            <w:tcMar>
              <w:top w:type="dxa" w:w="60"/>
              <w:left w:type="dxa" w:w="90"/>
              <w:bottom w:type="dxa" w:w="60"/>
              <w:right w:type="dxa" w:w="90"/>
            </w:tcMar>
          </w:tcPr>
          <w:p>
            <w:pPr>
              <w:spacing w:after="40"/>
            </w:pPr>
            <w:r>
              <w:rPr>
                <w:sz w:val="18"/>
                <w:szCs w:val="18"/>
              </w:rPr>
              <w:t xml:space="preserve">H1b (+)</w:t>
            </w:r>
          </w:p>
        </w:tc>
        <w:tc>
          <w:tcPr>
            <w:tcW w:type="dxa" w:w="1446"/>
            <w:tcMar>
              <w:top w:type="dxa" w:w="60"/>
              <w:left w:type="dxa" w:w="90"/>
              <w:bottom w:type="dxa" w:w="60"/>
              <w:right w:type="dxa" w:w="90"/>
            </w:tcMar>
          </w:tcPr>
          <w:p>
            <w:pPr>
              <w:spacing w:after="40"/>
            </w:pPr>
            <w:r>
              <w:rPr>
                <w:sz w:val="18"/>
                <w:szCs w:val="18"/>
              </w:rPr>
              <w:t xml:space="preserve">Matched pairs + within-bank panel</w:t>
            </w:r>
          </w:p>
        </w:tc>
        <w:tc>
          <w:tcPr>
            <w:tcW w:type="dxa" w:w="1446"/>
            <w:tcMar>
              <w:top w:type="dxa" w:w="60"/>
              <w:left w:type="dxa" w:w="90"/>
              <w:bottom w:type="dxa" w:w="60"/>
              <w:right w:type="dxa" w:w="90"/>
            </w:tcMar>
          </w:tcPr>
          <w:p>
            <w:pPr>
              <w:spacing w:after="40"/>
            </w:pPr>
            <w:r>
              <w:rPr>
                <w:sz w:val="18"/>
                <w:szCs w:val="18"/>
              </w:rPr>
              <w:t xml:space="preserve">§4.4, p. 32; §4.7, p. 40</w:t>
            </w:r>
          </w:p>
        </w:tc>
        <w:tc>
          <w:tcPr>
            <w:tcW w:type="dxa" w:w="1928"/>
            <w:tcMar>
              <w:top w:type="dxa" w:w="60"/>
              <w:left w:type="dxa" w:w="90"/>
              <w:bottom w:type="dxa" w:w="60"/>
              <w:right w:type="dxa" w:w="90"/>
            </w:tcMar>
          </w:tcPr>
          <w:p>
            <w:pPr>
              <w:spacing w:after="40"/>
            </w:pPr>
            <w:r>
              <w:rPr>
                <w:sz w:val="18"/>
                <w:szCs w:val="18"/>
              </w:rPr>
              <w:t xml:space="preserve">Answered, with a large caveat: +103.8 bp; Holm p = 0.035 (full horizon only)</w:t>
            </w:r>
          </w:p>
        </w:tc>
        <w:tc>
          <w:tcPr>
            <w:tcW w:type="dxa" w:w="2794"/>
            <w:tcMar>
              <w:top w:type="dxa" w:w="60"/>
              <w:left w:type="dxa" w:w="90"/>
              <w:bottom w:type="dxa" w:w="60"/>
              <w:right w:type="dxa" w:w="90"/>
            </w:tcMar>
          </w:tcPr>
          <w:p>
            <w:pPr>
              <w:spacing w:after="40"/>
            </w:pPr>
            <w:r>
              <w:rPr>
                <w:sz w:val="18"/>
                <w:szCs w:val="18"/>
              </w:rPr>
              <w:t xml:space="preserve">Credit confounding; horizon dependence; subset heterogeneity (+27 vs +240 bp).</w:t>
            </w:r>
          </w:p>
        </w:tc>
      </w:tr>
      <w:tr>
        <w:tc>
          <w:tcPr>
            <w:tcW w:type="dxa" w:w="1253"/>
            <w:tcMar>
              <w:top w:type="dxa" w:w="60"/>
              <w:left w:type="dxa" w:w="90"/>
              <w:bottom w:type="dxa" w:w="60"/>
              <w:right w:type="dxa" w:w="90"/>
            </w:tcMar>
          </w:tcPr>
          <w:p>
            <w:pPr>
              <w:spacing w:after="40"/>
            </w:pPr>
            <w:r>
              <w:rPr>
                <w:sz w:val="18"/>
                <w:szCs w:val="18"/>
              </w:rPr>
              <w:t xml:space="preserve">(a) Putable vs plain</w:t>
            </w:r>
          </w:p>
        </w:tc>
        <w:tc>
          <w:tcPr>
            <w:tcW w:type="dxa" w:w="771"/>
            <w:tcMar>
              <w:top w:type="dxa" w:w="60"/>
              <w:left w:type="dxa" w:w="90"/>
              <w:bottom w:type="dxa" w:w="60"/>
              <w:right w:type="dxa" w:w="90"/>
            </w:tcMar>
          </w:tcPr>
          <w:p>
            <w:pPr>
              <w:spacing w:after="40"/>
            </w:pPr>
            <w:r>
              <w:rPr>
                <w:sz w:val="18"/>
                <w:szCs w:val="18"/>
              </w:rPr>
              <w:t xml:space="preserve">H1c (−)</w:t>
            </w:r>
          </w:p>
        </w:tc>
        <w:tc>
          <w:tcPr>
            <w:tcW w:type="dxa" w:w="1446"/>
            <w:tcMar>
              <w:top w:type="dxa" w:w="60"/>
              <w:left w:type="dxa" w:w="90"/>
              <w:bottom w:type="dxa" w:w="60"/>
              <w:right w:type="dxa" w:w="90"/>
            </w:tcMar>
          </w:tcPr>
          <w:p>
            <w:pPr>
              <w:spacing w:after="40"/>
            </w:pPr>
            <w:r>
              <w:rPr>
                <w:sz w:val="18"/>
                <w:szCs w:val="18"/>
              </w:rPr>
              <w:t xml:space="preserve">Census only</w:t>
            </w:r>
          </w:p>
        </w:tc>
        <w:tc>
          <w:tcPr>
            <w:tcW w:type="dxa" w:w="1446"/>
            <w:tcMar>
              <w:top w:type="dxa" w:w="60"/>
              <w:left w:type="dxa" w:w="90"/>
              <w:bottom w:type="dxa" w:w="60"/>
              <w:right w:type="dxa" w:w="90"/>
            </w:tcMar>
          </w:tcPr>
          <w:p>
            <w:pPr>
              <w:spacing w:after="40"/>
            </w:pPr>
            <w:r>
              <w:rPr>
                <w:sz w:val="18"/>
                <w:szCs w:val="18"/>
              </w:rPr>
              <w:t xml:space="preserve">§4.10, p. 49</w:t>
            </w:r>
          </w:p>
        </w:tc>
        <w:tc>
          <w:tcPr>
            <w:tcW w:type="dxa" w:w="1928"/>
            <w:tcMar>
              <w:top w:type="dxa" w:w="60"/>
              <w:left w:type="dxa" w:w="90"/>
              <w:bottom w:type="dxa" w:w="60"/>
              <w:right w:type="dxa" w:w="90"/>
            </w:tcMar>
          </w:tcPr>
          <w:p>
            <w:pPr>
              <w:spacing w:after="40"/>
            </w:pPr>
            <w:r>
              <w:rPr>
                <w:sz w:val="18"/>
                <w:szCs w:val="18"/>
              </w:rPr>
              <w:t xml:space="preserve">Not estimable (4 USD lines, none usable)</w:t>
            </w:r>
          </w:p>
        </w:tc>
        <w:tc>
          <w:tcPr>
            <w:tcW w:type="dxa" w:w="2794"/>
            <w:tcMar>
              <w:top w:type="dxa" w:w="60"/>
              <w:left w:type="dxa" w:w="90"/>
              <w:bottom w:type="dxa" w:w="60"/>
              <w:right w:type="dxa" w:w="90"/>
            </w:tcMar>
          </w:tcPr>
          <w:p>
            <w:pPr>
              <w:spacing w:after="40"/>
            </w:pPr>
            <w:r>
              <w:rPr>
                <w:sz w:val="18"/>
                <w:szCs w:val="18"/>
              </w:rPr>
              <w:t xml:space="preserve">Say this in the objectives and title, not only in the results. Consider re-scoping H1c as a documented market-structure finding.</w:t>
            </w:r>
          </w:p>
        </w:tc>
      </w:tr>
      <w:tr>
        <w:tc>
          <w:tcPr>
            <w:tcW w:type="dxa" w:w="1253"/>
            <w:tcMar>
              <w:top w:type="dxa" w:w="60"/>
              <w:left w:type="dxa" w:w="90"/>
              <w:bottom w:type="dxa" w:w="60"/>
              <w:right w:type="dxa" w:w="90"/>
            </w:tcMar>
          </w:tcPr>
          <w:p>
            <w:pPr>
              <w:spacing w:after="40"/>
            </w:pPr>
            <w:r>
              <w:rPr>
                <w:sz w:val="18"/>
                <w:szCs w:val="18"/>
              </w:rPr>
              <w:t xml:space="preserve">(a) ESG / green vs plain</w:t>
            </w:r>
          </w:p>
        </w:tc>
        <w:tc>
          <w:tcPr>
            <w:tcW w:type="dxa" w:w="771"/>
            <w:tcMar>
              <w:top w:type="dxa" w:w="60"/>
              <w:left w:type="dxa" w:w="90"/>
              <w:bottom w:type="dxa" w:w="60"/>
              <w:right w:type="dxa" w:w="90"/>
            </w:tcMar>
          </w:tcPr>
          <w:p>
            <w:pPr>
              <w:spacing w:after="40"/>
            </w:pPr>
            <w:r>
              <w:rPr>
                <w:sz w:val="18"/>
                <w:szCs w:val="18"/>
              </w:rPr>
              <w:t xml:space="preserve">H2 (−)</w:t>
            </w:r>
          </w:p>
        </w:tc>
        <w:tc>
          <w:tcPr>
            <w:tcW w:type="dxa" w:w="1446"/>
            <w:tcMar>
              <w:top w:type="dxa" w:w="60"/>
              <w:left w:type="dxa" w:w="90"/>
              <w:bottom w:type="dxa" w:w="60"/>
              <w:right w:type="dxa" w:w="90"/>
            </w:tcMar>
          </w:tcPr>
          <w:p>
            <w:pPr>
              <w:spacing w:after="40"/>
            </w:pPr>
            <w:r>
              <w:rPr>
                <w:sz w:val="18"/>
                <w:szCs w:val="18"/>
              </w:rPr>
              <w:t xml:space="preserve">Matched pairs + within-issuer panel</w:t>
            </w:r>
          </w:p>
        </w:tc>
        <w:tc>
          <w:tcPr>
            <w:tcW w:type="dxa" w:w="1446"/>
            <w:tcMar>
              <w:top w:type="dxa" w:w="60"/>
              <w:left w:type="dxa" w:w="90"/>
              <w:bottom w:type="dxa" w:w="60"/>
              <w:right w:type="dxa" w:w="90"/>
            </w:tcMar>
          </w:tcPr>
          <w:p>
            <w:pPr>
              <w:spacing w:after="40"/>
            </w:pPr>
            <w:r>
              <w:rPr>
                <w:sz w:val="18"/>
                <w:szCs w:val="18"/>
              </w:rPr>
              <w:t xml:space="preserve">§4.5, p. 33; §4.7, pp. 39–41</w:t>
            </w:r>
          </w:p>
        </w:tc>
        <w:tc>
          <w:tcPr>
            <w:tcW w:type="dxa" w:w="1928"/>
            <w:tcMar>
              <w:top w:type="dxa" w:w="60"/>
              <w:left w:type="dxa" w:w="90"/>
              <w:bottom w:type="dxa" w:w="60"/>
              <w:right w:type="dxa" w:w="90"/>
            </w:tcMar>
          </w:tcPr>
          <w:p>
            <w:pPr>
              <w:spacing w:after="40"/>
            </w:pPr>
            <w:r>
              <w:rPr>
                <w:sz w:val="18"/>
                <w:szCs w:val="18"/>
              </w:rPr>
              <w:t xml:space="preserve">Ambiguous: +18.5 bp (full horizon, n.s.); −16.4 bp (window, raw p = 0.017, Holm 0.0506)</w:t>
            </w:r>
          </w:p>
        </w:tc>
        <w:tc>
          <w:tcPr>
            <w:tcW w:type="dxa" w:w="2794"/>
            <w:tcMar>
              <w:top w:type="dxa" w:w="60"/>
              <w:left w:type="dxa" w:w="90"/>
              <w:bottom w:type="dxa" w:w="60"/>
              <w:right w:type="dxa" w:w="90"/>
            </w:tcMar>
          </w:tcPr>
          <w:p>
            <w:pPr>
              <w:spacing w:after="40"/>
            </w:pPr>
            <w:r>
              <w:rPr>
                <w:sz w:val="18"/>
                <w:szCs w:val="18"/>
              </w:rPr>
              <w:t xml:space="preserve">Result is driven by one sovereign programme; the primary procedures disagree (sign test p = 0.69).</w:t>
            </w:r>
          </w:p>
        </w:tc>
      </w:tr>
      <w:tr>
        <w:tc>
          <w:tcPr>
            <w:tcW w:type="dxa" w:w="1253"/>
            <w:tcMar>
              <w:top w:type="dxa" w:w="60"/>
              <w:left w:type="dxa" w:w="90"/>
              <w:bottom w:type="dxa" w:w="60"/>
              <w:right w:type="dxa" w:w="90"/>
            </w:tcMar>
          </w:tcPr>
          <w:p>
            <w:pPr>
              <w:spacing w:after="40"/>
            </w:pPr>
            <w:r>
              <w:rPr>
                <w:sz w:val="18"/>
                <w:szCs w:val="18"/>
              </w:rPr>
              <w:t xml:space="preserve">(b) Determinants of the differences</w:t>
            </w:r>
          </w:p>
        </w:tc>
        <w:tc>
          <w:tcPr>
            <w:tcW w:type="dxa" w:w="771"/>
            <w:tcMar>
              <w:top w:type="dxa" w:w="60"/>
              <w:left w:type="dxa" w:w="90"/>
              <w:bottom w:type="dxa" w:w="60"/>
              <w:right w:type="dxa" w:w="90"/>
            </w:tcMar>
          </w:tcPr>
          <w:p>
            <w:pPr>
              <w:spacing w:after="40"/>
            </w:pPr>
            <w:r>
              <w:rPr>
                <w:sz w:val="18"/>
                <w:szCs w:val="18"/>
              </w:rPr>
              <w:t xml:space="preserve">RO3</w:t>
            </w:r>
          </w:p>
        </w:tc>
        <w:tc>
          <w:tcPr>
            <w:tcW w:type="dxa" w:w="1446"/>
            <w:tcMar>
              <w:top w:type="dxa" w:w="60"/>
              <w:left w:type="dxa" w:w="90"/>
              <w:bottom w:type="dxa" w:w="60"/>
              <w:right w:type="dxa" w:w="90"/>
            </w:tcMar>
          </w:tcPr>
          <w:p>
            <w:pPr>
              <w:spacing w:after="40"/>
            </w:pPr>
            <w:r>
              <w:rPr>
                <w:sz w:val="18"/>
                <w:szCs w:val="18"/>
              </w:rPr>
              <w:t xml:space="preserve">None estimated (exploratory n = 15 regression only)</w:t>
            </w:r>
          </w:p>
        </w:tc>
        <w:tc>
          <w:tcPr>
            <w:tcW w:type="dxa" w:w="1446"/>
            <w:tcMar>
              <w:top w:type="dxa" w:w="60"/>
              <w:left w:type="dxa" w:w="90"/>
              <w:bottom w:type="dxa" w:w="60"/>
              <w:right w:type="dxa" w:w="90"/>
            </w:tcMar>
          </w:tcPr>
          <w:p>
            <w:pPr>
              <w:spacing w:after="40"/>
            </w:pPr>
            <w:r>
              <w:rPr>
                <w:sz w:val="18"/>
                <w:szCs w:val="18"/>
              </w:rPr>
              <w:t xml:space="preserve">§3.13, pp. 21–22; App. C.3, p. 108</w:t>
            </w:r>
          </w:p>
        </w:tc>
        <w:tc>
          <w:tcPr>
            <w:tcW w:type="dxa" w:w="1928"/>
            <w:tcMar>
              <w:top w:type="dxa" w:w="60"/>
              <w:left w:type="dxa" w:w="90"/>
              <w:bottom w:type="dxa" w:w="60"/>
              <w:right w:type="dxa" w:w="90"/>
            </w:tcMar>
          </w:tcPr>
          <w:p>
            <w:pPr>
              <w:spacing w:after="40"/>
            </w:pPr>
            <w:r>
              <w:rPr>
                <w:b/>
                <w:bCs/>
                <w:sz w:val="18"/>
                <w:szCs w:val="18"/>
              </w:rPr>
              <w:t xml:space="preserve">Not addressed</w:t>
            </w:r>
          </w:p>
        </w:tc>
        <w:tc>
          <w:tcPr>
            <w:tcW w:type="dxa" w:w="2794"/>
            <w:tcMar>
              <w:top w:type="dxa" w:w="60"/>
              <w:left w:type="dxa" w:w="90"/>
              <w:bottom w:type="dxa" w:w="60"/>
              <w:right w:type="dxa" w:w="90"/>
            </w:tcMar>
          </w:tcPr>
          <w:p>
            <w:pPr>
              <w:spacing w:after="40"/>
            </w:pPr>
            <w:r>
              <w:rPr>
                <w:sz w:val="18"/>
                <w:szCs w:val="18"/>
              </w:rPr>
              <w:t xml:space="preserve">Critical. A determinants model is now feasible (Section 2.1).</w:t>
            </w:r>
          </w:p>
        </w:tc>
      </w:tr>
      <w:tr>
        <w:tc>
          <w:tcPr>
            <w:tcW w:type="dxa" w:w="1253"/>
            <w:tcMar>
              <w:top w:type="dxa" w:w="60"/>
              <w:left w:type="dxa" w:w="90"/>
              <w:bottom w:type="dxa" w:w="60"/>
              <w:right w:type="dxa" w:w="90"/>
            </w:tcMar>
          </w:tcPr>
          <w:p>
            <w:pPr>
              <w:spacing w:after="40"/>
            </w:pPr>
            <w:r>
              <w:rPr>
                <w:sz w:val="18"/>
                <w:szCs w:val="18"/>
              </w:rPr>
              <w:t xml:space="preserve">Cross-regional (title; RO4)</w:t>
            </w:r>
          </w:p>
        </w:tc>
        <w:tc>
          <w:tcPr>
            <w:tcW w:type="dxa" w:w="771"/>
            <w:tcMar>
              <w:top w:type="dxa" w:w="60"/>
              <w:left w:type="dxa" w:w="90"/>
              <w:bottom w:type="dxa" w:w="60"/>
              <w:right w:type="dxa" w:w="90"/>
            </w:tcMar>
          </w:tcPr>
          <w:p>
            <w:pPr>
              <w:spacing w:after="40"/>
            </w:pPr>
            <w:r>
              <w:rPr>
                <w:sz w:val="18"/>
                <w:szCs w:val="18"/>
              </w:rPr>
              <w:t xml:space="preserve">RO4</w:t>
            </w:r>
          </w:p>
        </w:tc>
        <w:tc>
          <w:tcPr>
            <w:tcW w:type="dxa" w:w="1446"/>
            <w:tcMar>
              <w:top w:type="dxa" w:w="60"/>
              <w:left w:type="dxa" w:w="90"/>
              <w:bottom w:type="dxa" w:w="60"/>
              <w:right w:type="dxa" w:w="90"/>
            </w:tcMar>
          </w:tcPr>
          <w:p>
            <w:pPr>
              <w:spacing w:after="40"/>
            </w:pPr>
            <w:r>
              <w:rPr>
                <w:sz w:val="18"/>
                <w:szCs w:val="18"/>
              </w:rPr>
              <w:t xml:space="preserve">None</w:t>
            </w:r>
          </w:p>
        </w:tc>
        <w:tc>
          <w:tcPr>
            <w:tcW w:type="dxa" w:w="1446"/>
            <w:tcMar>
              <w:top w:type="dxa" w:w="60"/>
              <w:left w:type="dxa" w:w="90"/>
              <w:bottom w:type="dxa" w:w="60"/>
              <w:right w:type="dxa" w:w="90"/>
            </w:tcMar>
          </w:tcPr>
          <w:p>
            <w:pPr>
              <w:spacing w:after="40"/>
            </w:pPr>
            <w:r>
              <w:rPr>
                <w:sz w:val="18"/>
                <w:szCs w:val="18"/>
              </w:rPr>
              <w:t xml:space="preserve">§3.13, p. 22</w:t>
            </w:r>
          </w:p>
        </w:tc>
        <w:tc>
          <w:tcPr>
            <w:tcW w:type="dxa" w:w="1928"/>
            <w:tcMar>
              <w:top w:type="dxa" w:w="60"/>
              <w:left w:type="dxa" w:w="90"/>
              <w:bottom w:type="dxa" w:w="60"/>
              <w:right w:type="dxa" w:w="90"/>
            </w:tcMar>
          </w:tcPr>
          <w:p>
            <w:pPr>
              <w:spacing w:after="40"/>
            </w:pPr>
            <w:r>
              <w:rPr>
                <w:sz w:val="18"/>
                <w:szCs w:val="18"/>
              </w:rPr>
              <w:t xml:space="preserve">Not estimable</w:t>
            </w:r>
          </w:p>
        </w:tc>
        <w:tc>
          <w:tcPr>
            <w:tcW w:type="dxa" w:w="2794"/>
            <w:tcMar>
              <w:top w:type="dxa" w:w="60"/>
              <w:left w:type="dxa" w:w="90"/>
              <w:bottom w:type="dxa" w:w="60"/>
              <w:right w:type="dxa" w:w="90"/>
            </w:tcMar>
          </w:tcPr>
          <w:p>
            <w:pPr>
              <w:spacing w:after="40"/>
            </w:pPr>
            <w:r>
              <w:rPr>
                <w:sz w:val="18"/>
                <w:szCs w:val="18"/>
              </w:rPr>
              <w:t xml:space="preserve">Remove “Cross-Regional … GCC and ASEAN” from the title, or re-scope.</w:t>
            </w:r>
          </w:p>
        </w:tc>
      </w:tr>
    </w:tbl>
    <w:p>
      <w:pPr>
        <w:spacing w:after="60"/>
      </w:pPr>
    </w:p>
    <w:p>
      <w:pPr>
        <w:pStyle w:val="Heading2"/>
        <w:spacing w:after="120" w:before="240"/>
      </w:pPr>
      <w:r>
        <w:t xml:space="preserve">2.1 [Critical] Objective (b): the determinants analysis must be built</w:t>
      </w:r>
    </w:p>
    <w:p>
      <w:pPr>
        <w:spacing w:after="120" w:line="276"/>
      </w:pPr>
      <w:r>
        <w:t xml:space="preserve">§3.13 (pp. 21–22) argues that RO3 is not estimable because no covariate varies within a pair over time. That was true of the benchmark data. It is no longer true, as the draft itself concedes (“the position has shifted from a data impossibility to a question of scope”, p. 21; Appendix D.4, pp. 111–112). A thesis whose second objective is determinants cannot defer that objective to a supervisory note. You now have the ingredients for two complementary determinants designs:</w:t>
      </w:r>
    </w:p>
    <w:p>
      <w:pPr>
        <w:pStyle w:val="ListParagraph"/>
        <w:numPr>
          <w:ilvl w:val="0"/>
          <w:numId w:val="2"/>
        </w:numPr>
        <w:spacing w:after="80" w:line="264"/>
      </w:pPr>
      <w:r>
        <w:rPr>
          <w:b/>
          <w:bCs/>
        </w:rPr>
        <w:t xml:space="preserve">Cross-sectional determinants on the 72 pair means.</w:t>
      </w:r>
      <w:r>
        <w:t xml:space="preserve"> Regress each pair’s mean differential on its covariate gaps: rating gap (with an “unrated treated leg” indicator), liquidity-score gap, quoted-spread gap, log size gap, horizon gap, issuer type (bank / sovereign / corporate), same-issuer indicator, region, Indonesian sovereign indicator, 2025-vintage indicator and label verification status. Interact the key gaps with feature class. With 72 observations and a few issuer components, use HC3 errors and a wild bootstrap clustered on issuer component.</w:t>
      </w:r>
    </w:p>
    <w:p>
      <w:pPr>
        <w:pStyle w:val="ListParagraph"/>
        <w:numPr>
          <w:ilvl w:val="0"/>
          <w:numId w:val="2"/>
        </w:numPr>
        <w:spacing w:after="80" w:line="264"/>
      </w:pPr>
      <w:r>
        <w:rPr>
          <w:b/>
          <w:bCs/>
        </w:rPr>
        <w:t xml:space="preserve">Within-pair time-series determinants.</w:t>
      </w:r>
      <w:r>
        <w:t xml:space="preserve"> Estimate Δg,t = αg + β′Xg,t + εg,t, where Xg,t holds the time-varying drivers now available for the analysed legs: the quarter-end liquidity-score gap, the monthly relative quoted-spread gap, time to first call (for callables and perpetuals), and market-state variables (US Treasury level and slope, a volatility index, a GCC bank-spread index). Add an indicator for the March 2023 AT1 stress window. Pair fixed effects absorb static mismatch, which is exactly the weakness of the matched design.</w:t>
      </w:r>
    </w:p>
    <w:p>
      <w:pPr>
        <w:spacing w:after="120" w:line="276"/>
      </w:pPr>
      <w:r>
        <w:t xml:space="preserve">Several analyses already in the draft are determinants analyses in disguise and belong in this new chapter:</w:t>
      </w:r>
    </w:p>
    <w:p>
      <w:pPr>
        <w:pStyle w:val="ListParagraph"/>
        <w:numPr>
          <w:ilvl w:val="0"/>
          <w:numId w:val="2"/>
        </w:numPr>
        <w:spacing w:after="80" w:line="264"/>
      </w:pPr>
      <w:r>
        <w:t xml:space="preserve">the time-to-call slope (§4.9, p. 47);</w:t>
      </w:r>
    </w:p>
    <w:p>
      <w:pPr>
        <w:pStyle w:val="ListParagraph"/>
        <w:numPr>
          <w:ilvl w:val="0"/>
          <w:numId w:val="2"/>
        </w:numPr>
        <w:spacing w:after="80" w:line="264"/>
      </w:pPr>
      <w:r>
        <w:t xml:space="preserve">the liquidity-controlled within-family estimates (§4.7, p. 42);</w:t>
      </w:r>
    </w:p>
    <w:p>
      <w:pPr>
        <w:pStyle w:val="ListParagraph"/>
        <w:numPr>
          <w:ilvl w:val="0"/>
          <w:numId w:val="2"/>
        </w:numPr>
        <w:spacing w:after="80" w:line="264"/>
      </w:pPr>
      <w:r>
        <w:t xml:space="preserve">the verification-strength split (§4.7, pp. 40–41);</w:t>
      </w:r>
    </w:p>
    <w:p>
      <w:pPr>
        <w:pStyle w:val="ListParagraph"/>
        <w:numPr>
          <w:ilvl w:val="0"/>
          <w:numId w:val="2"/>
        </w:numPr>
        <w:spacing w:after="80" w:line="264"/>
      </w:pPr>
      <w:r>
        <w:t xml:space="preserve">the option-adjusted and quoted-spread layers (§4.8, pp. 44–45).</w:t>
      </w:r>
    </w:p>
    <w:p>
      <w:pPr>
        <w:spacing w:after="120" w:line="276"/>
      </w:pPr>
      <w:r>
        <w:t xml:space="preserve">Collecting them under objective (b) turns scattered robustness notes into a coherent answer.</w:t>
      </w:r>
    </w:p>
    <w:p>
      <w:pPr>
        <w:pStyle w:val="Heading1"/>
        <w:spacing w:after="160" w:before="360"/>
      </w:pPr>
      <w:r>
        <w:t xml:space="preserve">3. Methodology</w:t>
      </w:r>
    </w:p>
    <w:p>
      <w:pPr>
        <w:spacing w:after="120" w:line="276"/>
      </w:pPr>
      <w:r>
        <w:t xml:space="preserve">For each method I assess the six points you asked me to cover: (a) where it is applied, (b) why it is preferred, (c) how it is implemented, (d) its assumptions, (e) the criteria used to judge it, and (f) how well it is aligned to the objectives. Table 2 summarises the assessment; the most consequential issues follow in prose.</w:t>
      </w:r>
    </w:p>
    <w:p>
      <w:pPr>
        <w:pStyle w:val="Heading2"/>
        <w:spacing w:after="120" w:before="240"/>
      </w:pPr>
      <w:r>
        <w:t xml:space="preserve">3.1 Method-by-method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964"/>
        <w:gridCol w:w="1446"/>
        <w:gridCol w:w="1542"/>
        <w:gridCol w:w="1542"/>
        <w:gridCol w:w="1349"/>
        <w:gridCol w:w="1542"/>
      </w:tblGrid>
      <w:tr>
        <w:trPr>
          <w:tblHeader/>
        </w:trPr>
        <w:tc>
          <w:tcPr>
            <w:tcW w:type="dxa" w:w="1253"/>
            <w:shd w:fill="1F3864" w:color="auto" w:val="clear"/>
            <w:tcMar>
              <w:top w:type="dxa" w:w="60"/>
              <w:left w:type="dxa" w:w="90"/>
              <w:bottom w:type="dxa" w:w="60"/>
              <w:right w:type="dxa" w:w="90"/>
            </w:tcMar>
          </w:tcPr>
          <w:p>
            <w:pPr>
              <w:spacing w:after="40"/>
            </w:pPr>
            <w:r>
              <w:rPr>
                <w:b/>
                <w:bCs/>
                <w:color w:val="FFFFFF"/>
                <w:sz w:val="18"/>
                <w:szCs w:val="18"/>
              </w:rPr>
              <w:t xml:space="preserve">Method</w:t>
            </w:r>
          </w:p>
        </w:tc>
        <w:tc>
          <w:tcPr>
            <w:tcW w:type="dxa" w:w="964"/>
            <w:shd w:fill="1F3864" w:color="auto" w:val="clear"/>
            <w:tcMar>
              <w:top w:type="dxa" w:w="60"/>
              <w:left w:type="dxa" w:w="90"/>
              <w:bottom w:type="dxa" w:w="60"/>
              <w:right w:type="dxa" w:w="90"/>
            </w:tcMar>
          </w:tcPr>
          <w:p>
            <w:pPr>
              <w:spacing w:after="40"/>
            </w:pPr>
            <w:r>
              <w:rPr>
                <w:b/>
                <w:bCs/>
                <w:color w:val="FFFFFF"/>
                <w:sz w:val="18"/>
                <w:szCs w:val="18"/>
              </w:rPr>
              <w:t xml:space="preserve">(a) Where</w:t>
            </w:r>
          </w:p>
        </w:tc>
        <w:tc>
          <w:tcPr>
            <w:tcW w:type="dxa" w:w="1446"/>
            <w:shd w:fill="1F3864" w:color="auto" w:val="clear"/>
            <w:tcMar>
              <w:top w:type="dxa" w:w="60"/>
              <w:left w:type="dxa" w:w="90"/>
              <w:bottom w:type="dxa" w:w="60"/>
              <w:right w:type="dxa" w:w="90"/>
            </w:tcMar>
          </w:tcPr>
          <w:p>
            <w:pPr>
              <w:spacing w:after="40"/>
            </w:pPr>
            <w:r>
              <w:rPr>
                <w:b/>
                <w:bCs/>
                <w:color w:val="FFFFFF"/>
                <w:sz w:val="18"/>
                <w:szCs w:val="18"/>
              </w:rPr>
              <w:t xml:space="preserve">(b) Why preferred</w:t>
            </w:r>
          </w:p>
        </w:tc>
        <w:tc>
          <w:tcPr>
            <w:tcW w:type="dxa" w:w="1542"/>
            <w:shd w:fill="1F3864" w:color="auto" w:val="clear"/>
            <w:tcMar>
              <w:top w:type="dxa" w:w="60"/>
              <w:left w:type="dxa" w:w="90"/>
              <w:bottom w:type="dxa" w:w="60"/>
              <w:right w:type="dxa" w:w="90"/>
            </w:tcMar>
          </w:tcPr>
          <w:p>
            <w:pPr>
              <w:spacing w:after="40"/>
            </w:pPr>
            <w:r>
              <w:rPr>
                <w:b/>
                <w:bCs/>
                <w:color w:val="FFFFFF"/>
                <w:sz w:val="18"/>
                <w:szCs w:val="18"/>
              </w:rPr>
              <w:t xml:space="preserve">(c) How implemented</w:t>
            </w:r>
          </w:p>
        </w:tc>
        <w:tc>
          <w:tcPr>
            <w:tcW w:type="dxa" w:w="1542"/>
            <w:shd w:fill="1F3864" w:color="auto" w:val="clear"/>
            <w:tcMar>
              <w:top w:type="dxa" w:w="60"/>
              <w:left w:type="dxa" w:w="90"/>
              <w:bottom w:type="dxa" w:w="60"/>
              <w:right w:type="dxa" w:w="90"/>
            </w:tcMar>
          </w:tcPr>
          <w:p>
            <w:pPr>
              <w:spacing w:after="40"/>
            </w:pPr>
            <w:r>
              <w:rPr>
                <w:b/>
                <w:bCs/>
                <w:color w:val="FFFFFF"/>
                <w:sz w:val="18"/>
                <w:szCs w:val="18"/>
              </w:rPr>
              <w:t xml:space="preserve">(d) Assumptions</w:t>
            </w:r>
          </w:p>
        </w:tc>
        <w:tc>
          <w:tcPr>
            <w:tcW w:type="dxa" w:w="1349"/>
            <w:shd w:fill="1F3864" w:color="auto" w:val="clear"/>
            <w:tcMar>
              <w:top w:type="dxa" w:w="60"/>
              <w:left w:type="dxa" w:w="90"/>
              <w:bottom w:type="dxa" w:w="60"/>
              <w:right w:type="dxa" w:w="90"/>
            </w:tcMar>
          </w:tcPr>
          <w:p>
            <w:pPr>
              <w:spacing w:after="40"/>
            </w:pPr>
            <w:r>
              <w:rPr>
                <w:b/>
                <w:bCs/>
                <w:color w:val="FFFFFF"/>
                <w:sz w:val="18"/>
                <w:szCs w:val="18"/>
              </w:rPr>
              <w:t xml:space="preserve">(e) Assessment criteria</w:t>
            </w:r>
          </w:p>
        </w:tc>
        <w:tc>
          <w:tcPr>
            <w:tcW w:type="dxa" w:w="1542"/>
            <w:shd w:fill="1F3864" w:color="auto" w:val="clear"/>
            <w:tcMar>
              <w:top w:type="dxa" w:w="60"/>
              <w:left w:type="dxa" w:w="90"/>
              <w:bottom w:type="dxa" w:w="60"/>
              <w:right w:type="dxa" w:w="90"/>
            </w:tcMar>
          </w:tcPr>
          <w:p>
            <w:pPr>
              <w:spacing w:after="40"/>
            </w:pPr>
            <w:r>
              <w:rPr>
                <w:b/>
                <w:bCs/>
                <w:color w:val="FFFFFF"/>
                <w:sz w:val="18"/>
                <w:szCs w:val="18"/>
              </w:rPr>
              <w:t xml:space="preserve">(f) Alignment</w:t>
            </w:r>
          </w:p>
        </w:tc>
      </w:tr>
      <w:tr>
        <w:tc>
          <w:tcPr>
            <w:tcW w:type="dxa" w:w="1253"/>
            <w:tcMar>
              <w:top w:type="dxa" w:w="60"/>
              <w:left w:type="dxa" w:w="90"/>
              <w:bottom w:type="dxa" w:w="60"/>
              <w:right w:type="dxa" w:w="90"/>
            </w:tcMar>
          </w:tcPr>
          <w:p>
            <w:pPr>
              <w:spacing w:after="40"/>
            </w:pPr>
            <w:r>
              <w:rPr>
                <w:sz w:val="18"/>
                <w:szCs w:val="18"/>
              </w:rPr>
              <w:t xml:space="preserve">M1 Matched pairs: eligibility screen, additive score, one-to-one without reuse</w:t>
            </w:r>
          </w:p>
        </w:tc>
        <w:tc>
          <w:tcPr>
            <w:tcW w:type="dxa" w:w="964"/>
            <w:tcMar>
              <w:top w:type="dxa" w:w="60"/>
              <w:left w:type="dxa" w:w="90"/>
              <w:bottom w:type="dxa" w:w="60"/>
              <w:right w:type="dxa" w:w="90"/>
            </w:tcMar>
          </w:tcPr>
          <w:p>
            <w:pPr>
              <w:spacing w:after="40"/>
            </w:pPr>
            <w:r>
              <w:rPr>
                <w:sz w:val="18"/>
                <w:szCs w:val="18"/>
              </w:rPr>
              <w:t xml:space="preserve">§3.5 pp. 9–12; §3.16 pp. 27–28</w:t>
            </w:r>
          </w:p>
        </w:tc>
        <w:tc>
          <w:tcPr>
            <w:tcW w:type="dxa" w:w="1446"/>
            <w:tcMar>
              <w:top w:type="dxa" w:w="60"/>
              <w:left w:type="dxa" w:w="90"/>
              <w:bottom w:type="dxa" w:w="60"/>
              <w:right w:type="dxa" w:w="90"/>
            </w:tcMar>
          </w:tcPr>
          <w:p>
            <w:pPr>
              <w:spacing w:after="40"/>
            </w:pPr>
            <w:r>
              <w:rPr>
                <w:sz w:val="18"/>
                <w:szCs w:val="18"/>
              </w:rPr>
              <w:t xml:space="preserve">Well argued against propensity scores (King &amp; Nielsen, 2019) and CEM (p. 9). </w:t>
            </w:r>
            <w:r>
              <w:rPr>
                <w:b/>
                <w:bCs/>
                <w:sz w:val="18"/>
                <w:szCs w:val="18"/>
              </w:rPr>
              <w:t xml:space="preserve">Missing:</w:t>
            </w:r>
            <w:r>
              <w:rPr>
                <w:sz w:val="18"/>
                <w:szCs w:val="18"/>
              </w:rPr>
              <w:t xml:space="preserve"> why not same-issuer matching, the benchmark design in this literature (Zerbib, 2019; Larcker &amp; Watts, 2020; Becker et al., 2024)?</w:t>
            </w:r>
          </w:p>
        </w:tc>
        <w:tc>
          <w:tcPr>
            <w:tcW w:type="dxa" w:w="1542"/>
            <w:tcMar>
              <w:top w:type="dxa" w:w="60"/>
              <w:left w:type="dxa" w:w="90"/>
              <w:bottom w:type="dxa" w:w="60"/>
              <w:right w:type="dxa" w:w="90"/>
            </w:tcMar>
          </w:tcPr>
          <w:p>
            <w:pPr>
              <w:spacing w:after="40"/>
            </w:pPr>
            <w:r>
              <w:rPr>
                <w:sz w:val="18"/>
                <w:szCs w:val="18"/>
              </w:rPr>
              <w:t xml:space="preserve">Historical score weights and tie-break “no longer available” (p. 11). The written protocol used for 24 later pairs is never shown; it must be an appendix. Three assignments were recomputed (p. 28).</w:t>
            </w:r>
          </w:p>
        </w:tc>
        <w:tc>
          <w:tcPr>
            <w:tcW w:type="dxa" w:w="1542"/>
            <w:tcMar>
              <w:top w:type="dxa" w:w="60"/>
              <w:left w:type="dxa" w:w="90"/>
              <w:bottom w:type="dxa" w:w="60"/>
              <w:right w:type="dxa" w:w="90"/>
            </w:tcMar>
          </w:tcPr>
          <w:p>
            <w:pPr>
              <w:spacing w:after="40"/>
            </w:pPr>
            <w:r>
              <w:rPr>
                <w:sz w:val="18"/>
                <w:szCs w:val="18"/>
              </w:rPr>
              <w:t xml:space="preserve">Selection on observables (stated, p. 3). Overlap / common support: the §3.6 heading promises it (p. 12) but </w:t>
            </w:r>
            <w:r>
              <w:rPr>
                <w:b/>
                <w:bCs/>
                <w:sz w:val="18"/>
                <w:szCs w:val="18"/>
              </w:rPr>
              <w:t xml:space="preserve">no common-support analysis is reported</w:t>
            </w:r>
            <w:r>
              <w:rPr>
                <w:sz w:val="18"/>
                <w:szCs w:val="18"/>
              </w:rPr>
              <w:t xml:space="preserve">. No-interference: the same control issuer serves several pairs (FAB in R2002, R2003, R2011; Table 4.3, pp. 36–37).</w:t>
            </w:r>
          </w:p>
        </w:tc>
        <w:tc>
          <w:tcPr>
            <w:tcW w:type="dxa" w:w="1349"/>
            <w:tcMar>
              <w:top w:type="dxa" w:w="60"/>
              <w:left w:type="dxa" w:w="90"/>
              <w:bottom w:type="dxa" w:w="60"/>
              <w:right w:type="dxa" w:w="90"/>
            </w:tcMar>
          </w:tcPr>
          <w:p>
            <w:pPr>
              <w:spacing w:after="40"/>
            </w:pPr>
            <w:r>
              <w:rPr>
                <w:sz w:val="18"/>
                <w:szCs w:val="18"/>
              </w:rPr>
              <w:t xml:space="preserve">SMD &lt; 0.10, </w:t>
            </w:r>
            <w:r>
              <w:rPr>
                <w:b/>
                <w:bCs/>
                <w:sz w:val="18"/>
                <w:szCs w:val="18"/>
              </w:rPr>
              <w:t xml:space="preserve">failed on every characteristic</w:t>
            </w:r>
            <w:r>
              <w:rPr>
                <w:sz w:val="18"/>
                <w:szCs w:val="18"/>
              </w:rPr>
              <w:t xml:space="preserve"> (p. 12; Table 4.9, p. 52). No fallback criterion (e.g., |SMD| &lt; 0.25, variance ratios).</w:t>
            </w:r>
          </w:p>
        </w:tc>
        <w:tc>
          <w:tcPr>
            <w:tcW w:type="dxa" w:w="1542"/>
            <w:tcMar>
              <w:top w:type="dxa" w:w="60"/>
              <w:left w:type="dxa" w:w="90"/>
              <w:bottom w:type="dxa" w:w="60"/>
              <w:right w:type="dxa" w:w="90"/>
            </w:tcMar>
          </w:tcPr>
          <w:p>
            <w:pPr>
              <w:spacing w:after="40"/>
            </w:pPr>
            <w:r>
              <w:rPr>
                <w:sz w:val="18"/>
                <w:szCs w:val="18"/>
              </w:rPr>
              <w:t xml:space="preserve">Weak for H1b: unrated AT1s are matched without a credit term. Weak for H2: pairs cross sectors and countries (e.g., Aldar vs Indonesian sovereign; Binghatti vs Türkiye Wealth Fund).</w:t>
            </w:r>
          </w:p>
        </w:tc>
      </w:tr>
      <w:tr>
        <w:tc>
          <w:tcPr>
            <w:tcW w:type="dxa" w:w="1253"/>
            <w:tcMar>
              <w:top w:type="dxa" w:w="60"/>
              <w:left w:type="dxa" w:w="90"/>
              <w:bottom w:type="dxa" w:w="60"/>
              <w:right w:type="dxa" w:w="90"/>
            </w:tcMar>
          </w:tcPr>
          <w:p>
            <w:pPr>
              <w:spacing w:after="40"/>
            </w:pPr>
            <w:r>
              <w:rPr>
                <w:sz w:val="18"/>
                <w:szCs w:val="18"/>
              </w:rPr>
              <w:t xml:space="preserve">M2 Outcome: monthly mean evaluated-yield differential</w:t>
            </w:r>
          </w:p>
        </w:tc>
        <w:tc>
          <w:tcPr>
            <w:tcW w:type="dxa" w:w="964"/>
            <w:tcMar>
              <w:top w:type="dxa" w:w="60"/>
              <w:left w:type="dxa" w:w="90"/>
              <w:bottom w:type="dxa" w:w="60"/>
              <w:right w:type="dxa" w:w="90"/>
            </w:tcMar>
          </w:tcPr>
          <w:p>
            <w:pPr>
              <w:spacing w:after="40"/>
            </w:pPr>
            <w:r>
              <w:rPr>
                <w:sz w:val="18"/>
                <w:szCs w:val="18"/>
              </w:rPr>
              <w:t xml:space="preserve">§3.7 pp. 13–15</w:t>
            </w:r>
          </w:p>
        </w:tc>
        <w:tc>
          <w:tcPr>
            <w:tcW w:type="dxa" w:w="1446"/>
            <w:tcMar>
              <w:top w:type="dxa" w:w="60"/>
              <w:left w:type="dxa" w:w="90"/>
              <w:bottom w:type="dxa" w:w="60"/>
              <w:right w:type="dxa" w:w="90"/>
            </w:tcMar>
          </w:tcPr>
          <w:p>
            <w:pPr>
              <w:spacing w:after="40"/>
            </w:pPr>
            <w:r>
              <w:rPr>
                <w:sz w:val="18"/>
                <w:szCs w:val="18"/>
              </w:rPr>
              <w:t xml:space="preserve">Justified: sukuk trade too thinly for transaction data (p. 15).</w:t>
            </w:r>
          </w:p>
        </w:tc>
        <w:tc>
          <w:tcPr>
            <w:tcW w:type="dxa" w:w="1542"/>
            <w:tcMar>
              <w:top w:type="dxa" w:w="60"/>
              <w:left w:type="dxa" w:w="90"/>
              <w:bottom w:type="dxa" w:w="60"/>
              <w:right w:type="dxa" w:w="90"/>
            </w:tcMar>
          </w:tcPr>
          <w:p>
            <w:pPr>
              <w:spacing w:after="40"/>
            </w:pPr>
            <w:r>
              <w:rPr>
                <w:sz w:val="18"/>
                <w:szCs w:val="18"/>
              </w:rPr>
              <w:t xml:space="preserve">Four measurement rules: non-positive yields, 10-day floor, one value per security-day, terminal exclusion. They were introduced after the benchmark results; “Rule C” is named only on p. 33, never in §3.7.</w:t>
            </w:r>
          </w:p>
        </w:tc>
        <w:tc>
          <w:tcPr>
            <w:tcW w:type="dxa" w:w="1542"/>
            <w:tcMar>
              <w:top w:type="dxa" w:w="60"/>
              <w:left w:type="dxa" w:w="90"/>
              <w:bottom w:type="dxa" w:w="60"/>
              <w:right w:type="dxa" w:w="90"/>
            </w:tcMar>
          </w:tcPr>
          <w:p>
            <w:pPr>
              <w:spacing w:after="40"/>
            </w:pPr>
            <w:r>
              <w:rPr>
                <w:sz w:val="18"/>
                <w:szCs w:val="18"/>
              </w:rPr>
              <w:t xml:space="preserve">Evaluated yields track market value. Yields are comparable across instruments with different workout conventions (not justified for perpetuals vs bullets).</w:t>
            </w:r>
          </w:p>
        </w:tc>
        <w:tc>
          <w:tcPr>
            <w:tcW w:type="dxa" w:w="1349"/>
            <w:tcMar>
              <w:top w:type="dxa" w:w="60"/>
              <w:left w:type="dxa" w:w="90"/>
              <w:bottom w:type="dxa" w:w="60"/>
              <w:right w:type="dxa" w:w="90"/>
            </w:tcMar>
          </w:tcPr>
          <w:p>
            <w:pPr>
              <w:spacing w:after="40"/>
            </w:pPr>
            <w:r>
              <w:rPr>
                <w:sz w:val="18"/>
                <w:szCs w:val="18"/>
              </w:rPr>
              <w:t xml:space="preserve">No data-quality criterion (e.g., BVAL score, quote count).</w:t>
            </w:r>
          </w:p>
        </w:tc>
        <w:tc>
          <w:tcPr>
            <w:tcW w:type="dxa" w:w="1542"/>
            <w:tcMar>
              <w:top w:type="dxa" w:w="60"/>
              <w:left w:type="dxa" w:w="90"/>
              <w:bottom w:type="dxa" w:w="60"/>
              <w:right w:type="dxa" w:w="90"/>
            </w:tcMar>
          </w:tcPr>
          <w:p>
            <w:pPr>
              <w:spacing w:after="40"/>
            </w:pPr>
            <w:r>
              <w:rPr>
                <w:sz w:val="18"/>
                <w:szCs w:val="18"/>
              </w:rPr>
              <w:t xml:space="preserve">Weak for callable and perpetual features: yield-to-maturity conflates option value (Kalotay et al., 1993). Spread series contradict the yields (p. 38; Section 3.2 below).</w:t>
            </w:r>
          </w:p>
        </w:tc>
      </w:tr>
      <w:tr>
        <w:tc>
          <w:tcPr>
            <w:tcW w:type="dxa" w:w="1253"/>
            <w:tcMar>
              <w:top w:type="dxa" w:w="60"/>
              <w:left w:type="dxa" w:w="90"/>
              <w:bottom w:type="dxa" w:w="60"/>
              <w:right w:type="dxa" w:w="90"/>
            </w:tcMar>
          </w:tcPr>
          <w:p>
            <w:pPr>
              <w:spacing w:after="40"/>
            </w:pPr>
            <w:r>
              <w:rPr>
                <w:sz w:val="18"/>
                <w:szCs w:val="18"/>
              </w:rPr>
              <w:t xml:space="preserve">M3 Primary estimand + pair-level tests (t, sign, Wilcoxon, sign-flip, bootstrap)</w:t>
            </w:r>
          </w:p>
        </w:tc>
        <w:tc>
          <w:tcPr>
            <w:tcW w:type="dxa" w:w="964"/>
            <w:tcMar>
              <w:top w:type="dxa" w:w="60"/>
              <w:left w:type="dxa" w:w="90"/>
              <w:bottom w:type="dxa" w:w="60"/>
              <w:right w:type="dxa" w:w="90"/>
            </w:tcMar>
          </w:tcPr>
          <w:p>
            <w:pPr>
              <w:spacing w:after="40"/>
            </w:pPr>
            <w:r>
              <w:rPr>
                <w:sz w:val="18"/>
                <w:szCs w:val="18"/>
              </w:rPr>
              <w:t xml:space="preserve">§3.2 pp. 4–7; §3.8 pp. 15–17</w:t>
            </w:r>
          </w:p>
        </w:tc>
        <w:tc>
          <w:tcPr>
            <w:tcW w:type="dxa" w:w="1446"/>
            <w:tcMar>
              <w:top w:type="dxa" w:w="60"/>
              <w:left w:type="dxa" w:w="90"/>
              <w:bottom w:type="dxa" w:w="60"/>
              <w:right w:type="dxa" w:w="90"/>
            </w:tcMar>
          </w:tcPr>
          <w:p>
            <w:pPr>
              <w:spacing w:after="40"/>
            </w:pPr>
            <w:r>
              <w:rPr>
                <w:sz w:val="18"/>
                <w:szCs w:val="18"/>
              </w:rPr>
              <w:t xml:space="preserve">Strong and correct (Ibragimov &amp; Müller, 2016; Canay et al., 2017).</w:t>
            </w:r>
          </w:p>
        </w:tc>
        <w:tc>
          <w:tcPr>
            <w:tcW w:type="dxa" w:w="1542"/>
            <w:tcMar>
              <w:top w:type="dxa" w:w="60"/>
              <w:left w:type="dxa" w:w="90"/>
              <w:bottom w:type="dxa" w:w="60"/>
              <w:right w:type="dxa" w:w="90"/>
            </w:tcMar>
          </w:tcPr>
          <w:p>
            <w:pPr>
              <w:spacing w:after="40"/>
            </w:pPr>
            <w:r>
              <w:rPr>
                <w:sz w:val="18"/>
                <w:szCs w:val="18"/>
              </w:rPr>
              <w:t xml:space="preserve">Exact enumeration; recorded seeds; identity proven in Appendix A (p. 106).</w:t>
            </w:r>
          </w:p>
        </w:tc>
        <w:tc>
          <w:tcPr>
            <w:tcW w:type="dxa" w:w="1542"/>
            <w:tcMar>
              <w:top w:type="dxa" w:w="60"/>
              <w:left w:type="dxa" w:w="90"/>
              <w:bottom w:type="dxa" w:w="60"/>
              <w:right w:type="dxa" w:w="90"/>
            </w:tcMar>
          </w:tcPr>
          <w:p>
            <w:pPr>
              <w:spacing w:after="40"/>
            </w:pPr>
            <w:r>
              <w:rPr>
                <w:sz w:val="18"/>
                <w:szCs w:val="18"/>
              </w:rPr>
              <w:t xml:space="preserve">t-test: approximate normality of pair means (violated: Bereket +694 bp, p. 36). Wilcoxon and sign-flip: </w:t>
            </w:r>
            <w:r>
              <w:rPr>
                <w:b/>
                <w:bCs/>
                <w:sz w:val="18"/>
                <w:szCs w:val="18"/>
              </w:rPr>
              <w:t xml:space="preserve">symmetry</w:t>
            </w:r>
            <w:r>
              <w:rPr>
                <w:sz w:val="18"/>
                <w:szCs w:val="18"/>
              </w:rPr>
              <w:t xml:space="preserve">, not tested or discussed.</w:t>
            </w:r>
          </w:p>
        </w:tc>
        <w:tc>
          <w:tcPr>
            <w:tcW w:type="dxa" w:w="1349"/>
            <w:tcMar>
              <w:top w:type="dxa" w:w="60"/>
              <w:left w:type="dxa" w:w="90"/>
              <w:bottom w:type="dxa" w:w="60"/>
              <w:right w:type="dxa" w:w="90"/>
            </w:tcMar>
          </w:tcPr>
          <w:p>
            <w:pPr>
              <w:spacing w:after="40"/>
            </w:pPr>
            <w:r>
              <w:rPr>
                <w:b/>
                <w:bCs/>
                <w:sz w:val="18"/>
                <w:szCs w:val="18"/>
              </w:rPr>
              <w:t xml:space="preserve">Decision rule is inconsistent.</w:t>
            </w:r>
            <w:r>
              <w:rPr>
                <w:sz w:val="18"/>
                <w:szCs w:val="18"/>
              </w:rPr>
              <w:t xml:space="preserve"> Table 3.1 (p. 5) says all five procedures “govern” decisions. Table 4.17 (p. 69) uses the t-test; §4.11 (p. 50) uses the sign-flip test. There is no rule for when the procedures disagree (labelled window: sign-flip 0.017, sign 0.69, Wilcoxon 0.085; Table 4.1, p. 35).</w:t>
            </w:r>
          </w:p>
        </w:tc>
        <w:tc>
          <w:tcPr>
            <w:tcW w:type="dxa" w:w="1542"/>
            <w:tcMar>
              <w:top w:type="dxa" w:w="60"/>
              <w:left w:type="dxa" w:w="90"/>
              <w:bottom w:type="dxa" w:w="60"/>
              <w:right w:type="dxa" w:w="90"/>
            </w:tcMar>
          </w:tcPr>
          <w:p>
            <w:pPr>
              <w:spacing w:after="40"/>
            </w:pPr>
            <w:r>
              <w:rPr>
                <w:sz w:val="18"/>
                <w:szCs w:val="18"/>
              </w:rPr>
              <w:t xml:space="preserve">Good.</w:t>
            </w:r>
          </w:p>
        </w:tc>
      </w:tr>
      <w:tr>
        <w:tc>
          <w:tcPr>
            <w:tcW w:type="dxa" w:w="1253"/>
            <w:tcMar>
              <w:top w:type="dxa" w:w="60"/>
              <w:left w:type="dxa" w:w="90"/>
              <w:bottom w:type="dxa" w:w="60"/>
              <w:right w:type="dxa" w:w="90"/>
            </w:tcMar>
          </w:tcPr>
          <w:p>
            <w:pPr>
              <w:spacing w:after="40"/>
            </w:pPr>
            <w:r>
              <w:rPr>
                <w:sz w:val="18"/>
                <w:szCs w:val="18"/>
              </w:rPr>
              <w:t xml:space="preserve">M4 Secondary estimand + CR1/CR2/wild bootstrap/two-way clustering</w:t>
            </w:r>
          </w:p>
        </w:tc>
        <w:tc>
          <w:tcPr>
            <w:tcW w:type="dxa" w:w="964"/>
            <w:tcMar>
              <w:top w:type="dxa" w:w="60"/>
              <w:left w:type="dxa" w:w="90"/>
              <w:bottom w:type="dxa" w:w="60"/>
              <w:right w:type="dxa" w:w="90"/>
            </w:tcMar>
          </w:tcPr>
          <w:p>
            <w:pPr>
              <w:spacing w:after="40"/>
            </w:pPr>
            <w:r>
              <w:rPr>
                <w:sz w:val="18"/>
                <w:szCs w:val="18"/>
              </w:rPr>
              <w:t xml:space="preserve">§3.8 pp. 15–16; Panels B of Tables 4.10–4.11</w:t>
            </w:r>
          </w:p>
        </w:tc>
        <w:tc>
          <w:tcPr>
            <w:tcW w:type="dxa" w:w="1446"/>
            <w:tcMar>
              <w:top w:type="dxa" w:w="60"/>
              <w:left w:type="dxa" w:w="90"/>
              <w:bottom w:type="dxa" w:w="60"/>
              <w:right w:type="dxa" w:w="90"/>
            </w:tcMar>
          </w:tcPr>
          <w:p>
            <w:pPr>
              <w:spacing w:after="40"/>
            </w:pPr>
            <w:r>
              <w:rPr>
                <w:sz w:val="18"/>
                <w:szCs w:val="18"/>
              </w:rPr>
              <w:t xml:space="preserve">Appropriate for small cluster counts (Cameron et al., 2008; Imbens &amp; Kolesár, 2016).</w:t>
            </w:r>
          </w:p>
        </w:tc>
        <w:tc>
          <w:tcPr>
            <w:tcW w:type="dxa" w:w="1542"/>
            <w:tcMar>
              <w:top w:type="dxa" w:w="60"/>
              <w:left w:type="dxa" w:w="90"/>
              <w:bottom w:type="dxa" w:w="60"/>
              <w:right w:type="dxa" w:w="90"/>
            </w:tcMar>
          </w:tcPr>
          <w:p>
            <w:pPr>
              <w:spacing w:after="40"/>
            </w:pPr>
            <w:r>
              <w:rPr>
                <w:sz w:val="18"/>
                <w:szCs w:val="18"/>
              </w:rPr>
              <w:t xml:space="preserve">Sound; CR2 degrees of freedom documented (App. C.2, p. 107).</w:t>
            </w:r>
          </w:p>
        </w:tc>
        <w:tc>
          <w:tcPr>
            <w:tcW w:type="dxa" w:w="1542"/>
            <w:tcMar>
              <w:top w:type="dxa" w:w="60"/>
              <w:left w:type="dxa" w:w="90"/>
              <w:bottom w:type="dxa" w:w="60"/>
              <w:right w:type="dxa" w:w="90"/>
            </w:tcMar>
          </w:tcPr>
          <w:p>
            <w:pPr>
              <w:spacing w:after="40"/>
            </w:pPr>
            <w:r>
              <w:rPr>
                <w:sz w:val="18"/>
                <w:szCs w:val="18"/>
              </w:rPr>
              <w:t xml:space="preserve">Standard.</w:t>
            </w:r>
          </w:p>
        </w:tc>
        <w:tc>
          <w:tcPr>
            <w:tcW w:type="dxa" w:w="1349"/>
            <w:tcMar>
              <w:top w:type="dxa" w:w="60"/>
              <w:left w:type="dxa" w:w="90"/>
              <w:bottom w:type="dxa" w:w="60"/>
              <w:right w:type="dxa" w:w="90"/>
            </w:tcMar>
          </w:tcPr>
          <w:p>
            <w:pPr>
              <w:spacing w:after="40"/>
            </w:pPr>
            <w:r>
              <w:rPr>
                <w:sz w:val="18"/>
                <w:szCs w:val="18"/>
              </w:rPr>
              <w:t xml:space="preserve">Governs no decision.</w:t>
            </w:r>
          </w:p>
        </w:tc>
        <w:tc>
          <w:tcPr>
            <w:tcW w:type="dxa" w:w="1542"/>
            <w:tcMar>
              <w:top w:type="dxa" w:w="60"/>
              <w:left w:type="dxa" w:w="90"/>
              <w:bottom w:type="dxa" w:w="60"/>
              <w:right w:type="dxa" w:w="90"/>
            </w:tcMar>
          </w:tcPr>
          <w:p>
            <w:pPr>
              <w:spacing w:after="40"/>
            </w:pPr>
            <w:r>
              <w:rPr>
                <w:sz w:val="18"/>
                <w:szCs w:val="18"/>
              </w:rPr>
              <w:t xml:space="preserve">Over-reported for a descriptive estimand. Move to an appendix.</w:t>
            </w:r>
          </w:p>
        </w:tc>
      </w:tr>
      <w:tr>
        <w:tc>
          <w:tcPr>
            <w:tcW w:type="dxa" w:w="1253"/>
            <w:tcMar>
              <w:top w:type="dxa" w:w="60"/>
              <w:left w:type="dxa" w:w="90"/>
              <w:bottom w:type="dxa" w:w="60"/>
              <w:right w:type="dxa" w:w="90"/>
            </w:tcMar>
          </w:tcPr>
          <w:p>
            <w:pPr>
              <w:spacing w:after="40"/>
            </w:pPr>
            <w:r>
              <w:rPr>
                <w:sz w:val="18"/>
                <w:szCs w:val="18"/>
              </w:rPr>
              <w:t xml:space="preserve">M5 Holm multiple-testing correction</w:t>
            </w:r>
          </w:p>
        </w:tc>
        <w:tc>
          <w:tcPr>
            <w:tcW w:type="dxa" w:w="964"/>
            <w:tcMar>
              <w:top w:type="dxa" w:w="60"/>
              <w:left w:type="dxa" w:w="90"/>
              <w:bottom w:type="dxa" w:w="60"/>
              <w:right w:type="dxa" w:w="90"/>
            </w:tcMar>
          </w:tcPr>
          <w:p>
            <w:pPr>
              <w:spacing w:after="40"/>
            </w:pPr>
            <w:r>
              <w:rPr>
                <w:sz w:val="18"/>
                <w:szCs w:val="18"/>
              </w:rPr>
              <w:t xml:space="preserve">§3.10 p. 18</w:t>
            </w:r>
          </w:p>
        </w:tc>
        <w:tc>
          <w:tcPr>
            <w:tcW w:type="dxa" w:w="1446"/>
            <w:tcMar>
              <w:top w:type="dxa" w:w="60"/>
              <w:left w:type="dxa" w:w="90"/>
              <w:bottom w:type="dxa" w:w="60"/>
              <w:right w:type="dxa" w:w="90"/>
            </w:tcMar>
          </w:tcPr>
          <w:p>
            <w:pPr>
              <w:spacing w:after="40"/>
            </w:pPr>
            <w:r>
              <w:rPr>
                <w:sz w:val="18"/>
                <w:szCs w:val="18"/>
              </w:rPr>
              <w:t xml:space="preserve">Correct, and valid under dependence.</w:t>
            </w:r>
          </w:p>
        </w:tc>
        <w:tc>
          <w:tcPr>
            <w:tcW w:type="dxa" w:w="1542"/>
            <w:tcMar>
              <w:top w:type="dxa" w:w="60"/>
              <w:left w:type="dxa" w:w="90"/>
              <w:bottom w:type="dxa" w:w="60"/>
              <w:right w:type="dxa" w:w="90"/>
            </w:tcMar>
          </w:tcPr>
          <w:p>
            <w:pPr>
              <w:spacing w:after="40"/>
            </w:pPr>
            <w:r>
              <w:rPr>
                <w:sz w:val="18"/>
                <w:szCs w:val="18"/>
              </w:rPr>
              <w:t xml:space="preserve">Family = 3 hypotheses on the extended horizon (§4.11, p. 50).</w:t>
            </w:r>
          </w:p>
        </w:tc>
        <w:tc>
          <w:tcPr>
            <w:tcW w:type="dxa" w:w="1542"/>
            <w:tcMar>
              <w:top w:type="dxa" w:w="60"/>
              <w:left w:type="dxa" w:w="90"/>
              <w:bottom w:type="dxa" w:w="60"/>
              <w:right w:type="dxa" w:w="90"/>
            </w:tcMar>
          </w:tcPr>
          <w:p>
            <w:pPr>
              <w:spacing w:after="40"/>
            </w:pPr>
            <w:r>
              <w:rPr>
                <w:sz w:val="18"/>
                <w:szCs w:val="18"/>
              </w:rPr>
              <w:t xml:space="preserve">The family is fixed in advance.</w:t>
            </w:r>
          </w:p>
        </w:tc>
        <w:tc>
          <w:tcPr>
            <w:tcW w:type="dxa" w:w="1349"/>
            <w:tcMar>
              <w:top w:type="dxa" w:w="60"/>
              <w:left w:type="dxa" w:w="90"/>
              <w:bottom w:type="dxa" w:w="60"/>
              <w:right w:type="dxa" w:w="90"/>
            </w:tcMar>
          </w:tcPr>
          <w:p>
            <w:pPr>
              <w:spacing w:after="40"/>
            </w:pPr>
            <w:r>
              <w:rPr>
                <w:sz w:val="18"/>
                <w:szCs w:val="18"/>
              </w:rPr>
              <w:t xml:space="preserve">Familywise α = 0.05.</w:t>
            </w:r>
          </w:p>
        </w:tc>
        <w:tc>
          <w:tcPr>
            <w:tcW w:type="dxa" w:w="1542"/>
            <w:tcMar>
              <w:top w:type="dxa" w:w="60"/>
              <w:left w:type="dxa" w:w="90"/>
              <w:bottom w:type="dxa" w:w="60"/>
              <w:right w:type="dxa" w:w="90"/>
            </w:tcMar>
          </w:tcPr>
          <w:p>
            <w:pPr>
              <w:spacing w:after="40"/>
            </w:pPr>
            <w:r>
              <w:rPr>
                <w:sz w:val="18"/>
                <w:szCs w:val="18"/>
              </w:rPr>
              <w:t xml:space="preserve">Ignores the extra multiplicity from horizons × measurement rules × sample readings. It is applied on the horizon chosen after the results were seen.</w:t>
            </w:r>
          </w:p>
        </w:tc>
      </w:tr>
      <w:tr>
        <w:tc>
          <w:tcPr>
            <w:tcW w:type="dxa" w:w="1253"/>
            <w:tcMar>
              <w:top w:type="dxa" w:w="60"/>
              <w:left w:type="dxa" w:w="90"/>
              <w:bottom w:type="dxa" w:w="60"/>
              <w:right w:type="dxa" w:w="90"/>
            </w:tcMar>
          </w:tcPr>
          <w:p>
            <w:pPr>
              <w:spacing w:after="40"/>
            </w:pPr>
            <w:r>
              <w:rPr>
                <w:sz w:val="18"/>
                <w:szCs w:val="18"/>
              </w:rPr>
              <w:t xml:space="preserve">M6 Minimum detectable effect</w:t>
            </w:r>
          </w:p>
        </w:tc>
        <w:tc>
          <w:tcPr>
            <w:tcW w:type="dxa" w:w="964"/>
            <w:tcMar>
              <w:top w:type="dxa" w:w="60"/>
              <w:left w:type="dxa" w:w="90"/>
              <w:bottom w:type="dxa" w:w="60"/>
              <w:right w:type="dxa" w:w="90"/>
            </w:tcMar>
          </w:tcPr>
          <w:p>
            <w:pPr>
              <w:spacing w:after="40"/>
            </w:pPr>
            <w:r>
              <w:rPr>
                <w:sz w:val="18"/>
                <w:szCs w:val="18"/>
              </w:rPr>
              <w:t xml:space="preserve">§3.9 pp. 17–18</w:t>
            </w:r>
          </w:p>
        </w:tc>
        <w:tc>
          <w:tcPr>
            <w:tcW w:type="dxa" w:w="1446"/>
            <w:tcMar>
              <w:top w:type="dxa" w:w="60"/>
              <w:left w:type="dxa" w:w="90"/>
              <w:bottom w:type="dxa" w:w="60"/>
              <w:right w:type="dxa" w:w="90"/>
            </w:tcMar>
          </w:tcPr>
          <w:p>
            <w:pPr>
              <w:spacing w:after="40"/>
            </w:pPr>
            <w:r>
              <w:rPr>
                <w:sz w:val="18"/>
                <w:szCs w:val="18"/>
              </w:rPr>
              <w:t xml:space="preserve">Good practice for interpreting nulls.</w:t>
            </w:r>
          </w:p>
        </w:tc>
        <w:tc>
          <w:tcPr>
            <w:tcW w:type="dxa" w:w="1542"/>
            <w:tcMar>
              <w:top w:type="dxa" w:w="60"/>
              <w:left w:type="dxa" w:w="90"/>
              <w:bottom w:type="dxa" w:w="60"/>
              <w:right w:type="dxa" w:w="90"/>
            </w:tcMar>
          </w:tcPr>
          <w:p>
            <w:pPr>
              <w:spacing w:after="40"/>
            </w:pPr>
            <w:r>
              <w:rPr>
                <w:sz w:val="18"/>
                <w:szCs w:val="18"/>
              </w:rPr>
              <w:t xml:space="preserve">Uses the realised standard error.</w:t>
            </w:r>
          </w:p>
        </w:tc>
        <w:tc>
          <w:tcPr>
            <w:tcW w:type="dxa" w:w="1542"/>
            <w:tcMar>
              <w:top w:type="dxa" w:w="60"/>
              <w:left w:type="dxa" w:w="90"/>
              <w:bottom w:type="dxa" w:w="60"/>
              <w:right w:type="dxa" w:w="90"/>
            </w:tcMar>
          </w:tcPr>
          <w:p>
            <w:pPr>
              <w:spacing w:after="40"/>
            </w:pPr>
            <w:r>
              <w:rPr>
                <w:sz w:val="18"/>
                <w:szCs w:val="18"/>
              </w:rPr>
              <w:t xml:space="preserve">—</w:t>
            </w:r>
          </w:p>
        </w:tc>
        <w:tc>
          <w:tcPr>
            <w:tcW w:type="dxa" w:w="1349"/>
            <w:tcMar>
              <w:top w:type="dxa" w:w="60"/>
              <w:left w:type="dxa" w:w="90"/>
              <w:bottom w:type="dxa" w:w="60"/>
              <w:right w:type="dxa" w:w="90"/>
            </w:tcMar>
          </w:tcPr>
          <w:p>
            <w:pPr>
              <w:spacing w:after="40"/>
            </w:pPr>
            <w:r>
              <w:rPr>
                <w:sz w:val="18"/>
                <w:szCs w:val="18"/>
              </w:rPr>
              <w:t xml:space="preserve">80% power, two-sided 5%.</w:t>
            </w:r>
          </w:p>
        </w:tc>
        <w:tc>
          <w:tcPr>
            <w:tcW w:type="dxa" w:w="1542"/>
            <w:tcMar>
              <w:top w:type="dxa" w:w="60"/>
              <w:left w:type="dxa" w:w="90"/>
              <w:bottom w:type="dxa" w:w="60"/>
              <w:right w:type="dxa" w:w="90"/>
            </w:tcMar>
          </w:tcPr>
          <w:p>
            <w:pPr>
              <w:spacing w:after="40"/>
            </w:pPr>
            <w:r>
              <w:rPr>
                <w:sz w:val="18"/>
                <w:szCs w:val="18"/>
              </w:rPr>
              <w:t xml:space="preserve">Report as an ex-ante design limit and interpret nulls through confidence intervals, not “power”. The figures quoted conflict (Section 4.2).</w:t>
            </w:r>
          </w:p>
        </w:tc>
      </w:tr>
      <w:tr>
        <w:tc>
          <w:tcPr>
            <w:tcW w:type="dxa" w:w="1253"/>
            <w:tcMar>
              <w:top w:type="dxa" w:w="60"/>
              <w:left w:type="dxa" w:w="90"/>
              <w:bottom w:type="dxa" w:w="60"/>
              <w:right w:type="dxa" w:w="90"/>
            </w:tcMar>
          </w:tcPr>
          <w:p>
            <w:pPr>
              <w:spacing w:after="40"/>
            </w:pPr>
            <w:r>
              <w:rPr>
                <w:sz w:val="18"/>
                <w:szCs w:val="18"/>
              </w:rPr>
              <w:t xml:space="preserve">M7 Rosenbaum sensitivity (Γ)</w:t>
            </w:r>
          </w:p>
        </w:tc>
        <w:tc>
          <w:tcPr>
            <w:tcW w:type="dxa" w:w="964"/>
            <w:tcMar>
              <w:top w:type="dxa" w:w="60"/>
              <w:left w:type="dxa" w:w="90"/>
              <w:bottom w:type="dxa" w:w="60"/>
              <w:right w:type="dxa" w:w="90"/>
            </w:tcMar>
          </w:tcPr>
          <w:p>
            <w:pPr>
              <w:spacing w:after="40"/>
            </w:pPr>
            <w:r>
              <w:rPr>
                <w:sz w:val="18"/>
                <w:szCs w:val="18"/>
              </w:rPr>
              <w:t xml:space="preserve">§3.8 p. 17</w:t>
            </w:r>
          </w:p>
        </w:tc>
        <w:tc>
          <w:tcPr>
            <w:tcW w:type="dxa" w:w="1446"/>
            <w:tcMar>
              <w:top w:type="dxa" w:w="60"/>
              <w:left w:type="dxa" w:w="90"/>
              <w:bottom w:type="dxa" w:w="60"/>
              <w:right w:type="dxa" w:w="90"/>
            </w:tcMar>
          </w:tcPr>
          <w:p>
            <w:pPr>
              <w:spacing w:after="40"/>
            </w:pPr>
            <w:r>
              <w:rPr>
                <w:sz w:val="18"/>
                <w:szCs w:val="18"/>
              </w:rPr>
              <w:t xml:space="preserve">Correct tool for hidden bias.</w:t>
            </w:r>
          </w:p>
        </w:tc>
        <w:tc>
          <w:tcPr>
            <w:tcW w:type="dxa" w:w="1542"/>
            <w:tcMar>
              <w:top w:type="dxa" w:w="60"/>
              <w:left w:type="dxa" w:w="90"/>
              <w:bottom w:type="dxa" w:w="60"/>
              <w:right w:type="dxa" w:w="90"/>
            </w:tcMar>
          </w:tcPr>
          <w:p>
            <w:pPr>
              <w:spacing w:after="40"/>
            </w:pPr>
            <w:r>
              <w:rPr>
                <w:sz w:val="18"/>
                <w:szCs w:val="18"/>
              </w:rPr>
              <w:t xml:space="preserve">Exact convolution (p. 17).</w:t>
            </w:r>
          </w:p>
        </w:tc>
        <w:tc>
          <w:tcPr>
            <w:tcW w:type="dxa" w:w="1542"/>
            <w:tcMar>
              <w:top w:type="dxa" w:w="60"/>
              <w:left w:type="dxa" w:w="90"/>
              <w:bottom w:type="dxa" w:w="60"/>
              <w:right w:type="dxa" w:w="90"/>
            </w:tcMar>
          </w:tcPr>
          <w:p>
            <w:pPr>
              <w:spacing w:after="40"/>
            </w:pPr>
            <w:r>
              <w:rPr>
                <w:sz w:val="18"/>
                <w:szCs w:val="18"/>
              </w:rPr>
              <w:t xml:space="preserve">Bias acts on the sign of each pair.</w:t>
            </w:r>
          </w:p>
        </w:tc>
        <w:tc>
          <w:tcPr>
            <w:tcW w:type="dxa" w:w="1349"/>
            <w:tcMar>
              <w:top w:type="dxa" w:w="60"/>
              <w:left w:type="dxa" w:w="90"/>
              <w:bottom w:type="dxa" w:w="60"/>
              <w:right w:type="dxa" w:w="90"/>
            </w:tcMar>
          </w:tcPr>
          <w:p>
            <w:pPr>
              <w:spacing w:after="40"/>
            </w:pPr>
            <w:r>
              <w:rPr>
                <w:sz w:val="18"/>
                <w:szCs w:val="18"/>
              </w:rPr>
              <w:t xml:space="preserve">Γ at which the result stops rejecting.</w:t>
            </w:r>
          </w:p>
        </w:tc>
        <w:tc>
          <w:tcPr>
            <w:tcW w:type="dxa" w:w="1542"/>
            <w:tcMar>
              <w:top w:type="dxa" w:w="60"/>
              <w:left w:type="dxa" w:w="90"/>
              <w:bottom w:type="dxa" w:w="60"/>
              <w:right w:type="dxa" w:w="90"/>
            </w:tcMar>
          </w:tcPr>
          <w:p>
            <w:pPr>
              <w:spacing w:after="40"/>
            </w:pPr>
            <w:r>
              <w:rPr>
                <w:sz w:val="18"/>
                <w:szCs w:val="18"/>
              </w:rPr>
              <w:t xml:space="preserve">The result (Γ = 1.37) appears only in the discussion (p. 79). It belongs in Chapter 4 with a table.</w:t>
            </w:r>
          </w:p>
        </w:tc>
      </w:tr>
      <w:tr>
        <w:tc>
          <w:tcPr>
            <w:tcW w:type="dxa" w:w="1253"/>
            <w:tcMar>
              <w:top w:type="dxa" w:w="60"/>
              <w:left w:type="dxa" w:w="90"/>
              <w:bottom w:type="dxa" w:w="60"/>
              <w:right w:type="dxa" w:w="90"/>
            </w:tcMar>
          </w:tcPr>
          <w:p>
            <w:pPr>
              <w:spacing w:after="40"/>
            </w:pPr>
            <w:r>
              <w:rPr>
                <w:sz w:val="18"/>
                <w:szCs w:val="18"/>
              </w:rPr>
              <w:t xml:space="preserve">M8 Within-issuer panel with family × month fixed effects</w:t>
            </w:r>
          </w:p>
        </w:tc>
        <w:tc>
          <w:tcPr>
            <w:tcW w:type="dxa" w:w="964"/>
            <w:tcMar>
              <w:top w:type="dxa" w:w="60"/>
              <w:left w:type="dxa" w:w="90"/>
              <w:bottom w:type="dxa" w:w="60"/>
              <w:right w:type="dxa" w:w="90"/>
            </w:tcMar>
          </w:tcPr>
          <w:p>
            <w:pPr>
              <w:spacing w:after="40"/>
            </w:pPr>
            <w:r>
              <w:rPr>
                <w:sz w:val="18"/>
                <w:szCs w:val="18"/>
              </w:rPr>
              <w:t xml:space="preserve">§4.7 pp. 39–42</w:t>
            </w:r>
          </w:p>
        </w:tc>
        <w:tc>
          <w:tcPr>
            <w:tcW w:type="dxa" w:w="1446"/>
            <w:tcMar>
              <w:top w:type="dxa" w:w="60"/>
              <w:left w:type="dxa" w:w="90"/>
              <w:bottom w:type="dxa" w:w="60"/>
              <w:right w:type="dxa" w:w="90"/>
            </w:tcMar>
          </w:tcPr>
          <w:p>
            <w:pPr>
              <w:spacing w:after="40"/>
            </w:pPr>
            <w:r>
              <w:rPr>
                <w:b/>
                <w:bCs/>
                <w:sz w:val="18"/>
                <w:szCs w:val="18"/>
              </w:rPr>
              <w:t xml:space="preserve">Not introduced in Chapter 3 at all.</w:t>
            </w:r>
          </w:p>
        </w:tc>
        <w:tc>
          <w:tcPr>
            <w:tcW w:type="dxa" w:w="1542"/>
            <w:tcMar>
              <w:top w:type="dxa" w:w="60"/>
              <w:left w:type="dxa" w:w="90"/>
              <w:bottom w:type="dxa" w:w="60"/>
              <w:right w:type="dxa" w:w="90"/>
            </w:tcMar>
          </w:tcPr>
          <w:p>
            <w:pPr>
              <w:spacing w:after="40"/>
            </w:pPr>
            <w:r>
              <w:rPr>
                <w:sz w:val="18"/>
                <w:szCs w:val="18"/>
              </w:rPr>
              <w:t xml:space="preserve">Demeaned by family-month; linear tenor term; family-clustered; ≥ 5 families required for inference.</w:t>
            </w:r>
          </w:p>
        </w:tc>
        <w:tc>
          <w:tcPr>
            <w:tcW w:type="dxa" w:w="1542"/>
            <w:tcMar>
              <w:top w:type="dxa" w:w="60"/>
              <w:left w:type="dxa" w:w="90"/>
              <w:bottom w:type="dxa" w:w="60"/>
              <w:right w:type="dxa" w:w="90"/>
            </w:tcMar>
          </w:tcPr>
          <w:p>
            <w:pPr>
              <w:spacing w:after="40"/>
            </w:pPr>
            <w:r>
              <w:rPr>
                <w:sz w:val="18"/>
                <w:szCs w:val="18"/>
              </w:rPr>
              <w:t xml:space="preserve">Within-family linear tenor adjustment. Weights security-months, which contradicts the §3.2 argument against history-length weighting.</w:t>
            </w:r>
          </w:p>
        </w:tc>
        <w:tc>
          <w:tcPr>
            <w:tcW w:type="dxa" w:w="1349"/>
            <w:tcMar>
              <w:top w:type="dxa" w:w="60"/>
              <w:left w:type="dxa" w:w="90"/>
              <w:bottom w:type="dxa" w:w="60"/>
              <w:right w:type="dxa" w:w="90"/>
            </w:tcMar>
          </w:tcPr>
          <w:p>
            <w:pPr>
              <w:spacing w:after="40"/>
            </w:pPr>
            <w:r>
              <w:rPr>
                <w:sz w:val="18"/>
                <w:szCs w:val="18"/>
              </w:rPr>
              <w:t xml:space="preserve">The ≥ 5-family threshold is ad hoc.</w:t>
            </w:r>
          </w:p>
        </w:tc>
        <w:tc>
          <w:tcPr>
            <w:tcW w:type="dxa" w:w="1542"/>
            <w:tcMar>
              <w:top w:type="dxa" w:w="60"/>
              <w:left w:type="dxa" w:w="90"/>
              <w:bottom w:type="dxa" w:w="60"/>
              <w:right w:type="dxa" w:w="90"/>
            </w:tcMar>
          </w:tcPr>
          <w:p>
            <w:pPr>
              <w:spacing w:after="40"/>
            </w:pPr>
            <w:r>
              <w:rPr>
                <w:sz w:val="18"/>
                <w:szCs w:val="18"/>
              </w:rPr>
              <w:t xml:space="preserve">Potentially the </w:t>
            </w:r>
            <w:r>
              <w:rPr>
                <w:b/>
                <w:bCs/>
                <w:sz w:val="18"/>
                <w:szCs w:val="18"/>
              </w:rPr>
              <w:t xml:space="preserve">best-identified design</w:t>
            </w:r>
            <w:r>
              <w:rPr>
                <w:sz w:val="18"/>
                <w:szCs w:val="18"/>
              </w:rPr>
              <w:t xml:space="preserve"> for H1b and H2, because it holds the obligor fixed. It needs full methodological status.</w:t>
            </w:r>
          </w:p>
        </w:tc>
      </w:tr>
      <w:tr>
        <w:tc>
          <w:tcPr>
            <w:tcW w:type="dxa" w:w="1253"/>
            <w:tcMar>
              <w:top w:type="dxa" w:w="60"/>
              <w:left w:type="dxa" w:w="90"/>
              <w:bottom w:type="dxa" w:w="60"/>
              <w:right w:type="dxa" w:w="90"/>
            </w:tcMar>
          </w:tcPr>
          <w:p>
            <w:pPr>
              <w:spacing w:after="40"/>
            </w:pPr>
            <w:r>
              <w:rPr>
                <w:sz w:val="18"/>
                <w:szCs w:val="18"/>
              </w:rPr>
              <w:t xml:space="preserve">M9 Cross-sectional hedonic regression</w:t>
            </w:r>
          </w:p>
        </w:tc>
        <w:tc>
          <w:tcPr>
            <w:tcW w:type="dxa" w:w="964"/>
            <w:tcMar>
              <w:top w:type="dxa" w:w="60"/>
              <w:left w:type="dxa" w:w="90"/>
              <w:bottom w:type="dxa" w:w="60"/>
              <w:right w:type="dxa" w:w="90"/>
            </w:tcMar>
          </w:tcPr>
          <w:p>
            <w:pPr>
              <w:spacing w:after="40"/>
            </w:pPr>
            <w:r>
              <w:rPr>
                <w:sz w:val="18"/>
                <w:szCs w:val="18"/>
              </w:rPr>
              <w:t xml:space="preserve">§4.7 p. 40; Table 4.4 p. 41</w:t>
            </w:r>
          </w:p>
        </w:tc>
        <w:tc>
          <w:tcPr>
            <w:tcW w:type="dxa" w:w="1446"/>
            <w:tcMar>
              <w:top w:type="dxa" w:w="60"/>
              <w:left w:type="dxa" w:w="90"/>
              <w:bottom w:type="dxa" w:w="60"/>
              <w:right w:type="dxa" w:w="90"/>
            </w:tcMar>
          </w:tcPr>
          <w:p>
            <w:pPr>
              <w:spacing w:after="40"/>
            </w:pPr>
            <w:r>
              <w:rPr>
                <w:sz w:val="18"/>
                <w:szCs w:val="18"/>
              </w:rPr>
              <w:t xml:space="preserve">Not introduced in Chapter 3.</w:t>
            </w:r>
          </w:p>
        </w:tc>
        <w:tc>
          <w:tcPr>
            <w:tcW w:type="dxa" w:w="1542"/>
            <w:tcMar>
              <w:top w:type="dxa" w:w="60"/>
              <w:left w:type="dxa" w:w="90"/>
              <w:bottom w:type="dxa" w:w="60"/>
              <w:right w:type="dxa" w:w="90"/>
            </w:tcMar>
          </w:tcPr>
          <w:p>
            <w:pPr>
              <w:spacing w:after="40"/>
            </w:pPr>
            <w:r>
              <w:rPr>
                <w:sz w:val="18"/>
                <w:szCs w:val="18"/>
              </w:rPr>
              <w:t xml:space="preserve">Month fixed effects; family clustering.</w:t>
            </w:r>
          </w:p>
        </w:tc>
        <w:tc>
          <w:tcPr>
            <w:tcW w:type="dxa" w:w="1542"/>
            <w:tcMar>
              <w:top w:type="dxa" w:w="60"/>
              <w:left w:type="dxa" w:w="90"/>
              <w:bottom w:type="dxa" w:w="60"/>
              <w:right w:type="dxa" w:w="90"/>
            </w:tcMar>
          </w:tcPr>
          <w:p>
            <w:pPr>
              <w:spacing w:after="40"/>
            </w:pPr>
            <w:r>
              <w:rPr>
                <w:sz w:val="18"/>
                <w:szCs w:val="18"/>
              </w:rPr>
              <w:t xml:space="preserve">Selection on observables across issuers.</w:t>
            </w:r>
          </w:p>
        </w:tc>
        <w:tc>
          <w:tcPr>
            <w:tcW w:type="dxa" w:w="1349"/>
            <w:tcMar>
              <w:top w:type="dxa" w:w="60"/>
              <w:left w:type="dxa" w:w="90"/>
              <w:bottom w:type="dxa" w:w="60"/>
              <w:right w:type="dxa" w:w="90"/>
            </w:tcMar>
          </w:tcPr>
          <w:p>
            <w:pPr>
              <w:spacing w:after="40"/>
            </w:pPr>
            <w:r>
              <w:rPr>
                <w:sz w:val="18"/>
                <w:szCs w:val="18"/>
              </w:rPr>
              <w:t xml:space="preserve">None.</w:t>
            </w:r>
          </w:p>
        </w:tc>
        <w:tc>
          <w:tcPr>
            <w:tcW w:type="dxa" w:w="1542"/>
            <w:tcMar>
              <w:top w:type="dxa" w:w="60"/>
              <w:left w:type="dxa" w:w="90"/>
              <w:bottom w:type="dxa" w:w="60"/>
              <w:right w:type="dxa" w:w="90"/>
            </w:tcMar>
          </w:tcPr>
          <w:p>
            <w:pPr>
              <w:spacing w:after="40"/>
            </w:pPr>
            <w:r>
              <w:rPr>
                <w:sz w:val="18"/>
                <w:szCs w:val="18"/>
              </w:rPr>
              <w:t xml:space="preserve">Green coefficient −112 bp is implausible. Drop it or explain it.</w:t>
            </w:r>
          </w:p>
        </w:tc>
      </w:tr>
      <w:tr>
        <w:tc>
          <w:tcPr>
            <w:tcW w:type="dxa" w:w="1253"/>
            <w:tcMar>
              <w:top w:type="dxa" w:w="60"/>
              <w:left w:type="dxa" w:w="90"/>
              <w:bottom w:type="dxa" w:w="60"/>
              <w:right w:type="dxa" w:w="90"/>
            </w:tcMar>
          </w:tcPr>
          <w:p>
            <w:pPr>
              <w:spacing w:after="40"/>
            </w:pPr>
            <w:r>
              <w:rPr>
                <w:sz w:val="18"/>
                <w:szCs w:val="18"/>
              </w:rPr>
              <w:t xml:space="preserve">M10 Time-to-call slope</w:t>
            </w:r>
          </w:p>
        </w:tc>
        <w:tc>
          <w:tcPr>
            <w:tcW w:type="dxa" w:w="964"/>
            <w:tcMar>
              <w:top w:type="dxa" w:w="60"/>
              <w:left w:type="dxa" w:w="90"/>
              <w:bottom w:type="dxa" w:w="60"/>
              <w:right w:type="dxa" w:w="90"/>
            </w:tcMar>
          </w:tcPr>
          <w:p>
            <w:pPr>
              <w:spacing w:after="40"/>
            </w:pPr>
            <w:r>
              <w:rPr>
                <w:sz w:val="18"/>
                <w:szCs w:val="18"/>
              </w:rPr>
              <w:t xml:space="preserve">§4.9 p. 47</w:t>
            </w:r>
          </w:p>
        </w:tc>
        <w:tc>
          <w:tcPr>
            <w:tcW w:type="dxa" w:w="1446"/>
            <w:tcMar>
              <w:top w:type="dxa" w:w="60"/>
              <w:left w:type="dxa" w:w="90"/>
              <w:bottom w:type="dxa" w:w="60"/>
              <w:right w:type="dxa" w:w="90"/>
            </w:tcMar>
          </w:tcPr>
          <w:p>
            <w:pPr>
              <w:spacing w:after="40"/>
            </w:pPr>
            <w:r>
              <w:rPr>
                <w:sz w:val="18"/>
                <w:szCs w:val="18"/>
              </w:rPr>
              <w:t xml:space="preserve">Not introduced in Chapter 3.</w:t>
            </w:r>
          </w:p>
        </w:tc>
        <w:tc>
          <w:tcPr>
            <w:tcW w:type="dxa" w:w="1542"/>
            <w:tcMar>
              <w:top w:type="dxa" w:w="60"/>
              <w:left w:type="dxa" w:w="90"/>
              <w:bottom w:type="dxa" w:w="60"/>
              <w:right w:type="dxa" w:w="90"/>
            </w:tcMar>
          </w:tcPr>
          <w:p>
            <w:pPr>
              <w:spacing w:after="40"/>
            </w:pPr>
            <w:r>
              <w:rPr>
                <w:sz w:val="18"/>
                <w:szCs w:val="18"/>
              </w:rPr>
              <w:t xml:space="preserve">Within-pair regression, pair-clustered.</w:t>
            </w:r>
          </w:p>
        </w:tc>
        <w:tc>
          <w:tcPr>
            <w:tcW w:type="dxa" w:w="1542"/>
            <w:tcMar>
              <w:top w:type="dxa" w:w="60"/>
              <w:left w:type="dxa" w:w="90"/>
              <w:bottom w:type="dxa" w:w="60"/>
              <w:right w:type="dxa" w:w="90"/>
            </w:tcMar>
          </w:tcPr>
          <w:p>
            <w:pPr>
              <w:spacing w:after="40"/>
            </w:pPr>
            <w:r>
              <w:rPr>
                <w:sz w:val="18"/>
                <w:szCs w:val="18"/>
              </w:rPr>
              <w:t xml:space="preserve">Linear effect of time to call.</w:t>
            </w:r>
          </w:p>
        </w:tc>
        <w:tc>
          <w:tcPr>
            <w:tcW w:type="dxa" w:w="1349"/>
            <w:tcMar>
              <w:top w:type="dxa" w:w="60"/>
              <w:left w:type="dxa" w:w="90"/>
              <w:bottom w:type="dxa" w:w="60"/>
              <w:right w:type="dxa" w:w="90"/>
            </w:tcMar>
          </w:tcPr>
          <w:p>
            <w:pPr>
              <w:spacing w:after="40"/>
            </w:pPr>
            <w:r>
              <w:rPr>
                <w:sz w:val="18"/>
                <w:szCs w:val="18"/>
              </w:rPr>
              <w:t xml:space="preserve">p-value only.</w:t>
            </w:r>
          </w:p>
        </w:tc>
        <w:tc>
          <w:tcPr>
            <w:tcW w:type="dxa" w:w="1542"/>
            <w:tcMar>
              <w:top w:type="dxa" w:w="60"/>
              <w:left w:type="dxa" w:w="90"/>
              <w:bottom w:type="dxa" w:w="60"/>
              <w:right w:type="dxa" w:w="90"/>
            </w:tcMar>
          </w:tcPr>
          <w:p>
            <w:pPr>
              <w:spacing w:after="40"/>
            </w:pPr>
            <w:r>
              <w:rPr>
                <w:sz w:val="18"/>
                <w:szCs w:val="18"/>
              </w:rPr>
              <w:t xml:space="preserve">This is a determinants test; move it under objective (b).</w:t>
            </w:r>
          </w:p>
        </w:tc>
      </w:tr>
      <w:tr>
        <w:tc>
          <w:tcPr>
            <w:tcW w:type="dxa" w:w="1253"/>
            <w:tcMar>
              <w:top w:type="dxa" w:w="60"/>
              <w:left w:type="dxa" w:w="90"/>
              <w:bottom w:type="dxa" w:w="60"/>
              <w:right w:type="dxa" w:w="90"/>
            </w:tcMar>
          </w:tcPr>
          <w:p>
            <w:pPr>
              <w:spacing w:after="40"/>
            </w:pPr>
            <w:r>
              <w:rPr>
                <w:sz w:val="18"/>
                <w:szCs w:val="18"/>
              </w:rPr>
              <w:t xml:space="preserve">M11 Option-adjusted, quoted-spread and liquidity layers</w:t>
            </w:r>
          </w:p>
        </w:tc>
        <w:tc>
          <w:tcPr>
            <w:tcW w:type="dxa" w:w="964"/>
            <w:tcMar>
              <w:top w:type="dxa" w:w="60"/>
              <w:left w:type="dxa" w:w="90"/>
              <w:bottom w:type="dxa" w:w="60"/>
              <w:right w:type="dxa" w:w="90"/>
            </w:tcMar>
          </w:tcPr>
          <w:p>
            <w:pPr>
              <w:spacing w:after="40"/>
            </w:pPr>
            <w:r>
              <w:rPr>
                <w:sz w:val="18"/>
                <w:szCs w:val="18"/>
              </w:rPr>
              <w:t xml:space="preserve">§4.8 pp. 44–45</w:t>
            </w:r>
          </w:p>
        </w:tc>
        <w:tc>
          <w:tcPr>
            <w:tcW w:type="dxa" w:w="1446"/>
            <w:tcMar>
              <w:top w:type="dxa" w:w="60"/>
              <w:left w:type="dxa" w:w="90"/>
              <w:bottom w:type="dxa" w:w="60"/>
              <w:right w:type="dxa" w:w="90"/>
            </w:tcMar>
          </w:tcPr>
          <w:p>
            <w:pPr>
              <w:spacing w:after="40"/>
            </w:pPr>
            <w:r>
              <w:rPr>
                <w:sz w:val="18"/>
                <w:szCs w:val="18"/>
              </w:rPr>
              <w:t xml:space="preserve">Not introduced in Chapter 3.</w:t>
            </w:r>
          </w:p>
        </w:tc>
        <w:tc>
          <w:tcPr>
            <w:tcW w:type="dxa" w:w="1542"/>
            <w:tcMar>
              <w:top w:type="dxa" w:w="60"/>
              <w:left w:type="dxa" w:w="90"/>
              <w:bottom w:type="dxa" w:w="60"/>
              <w:right w:type="dxa" w:w="90"/>
            </w:tcMar>
          </w:tcPr>
          <w:p>
            <w:pPr>
              <w:spacing w:after="40"/>
            </w:pPr>
            <w:r>
              <w:rPr>
                <w:sz w:val="18"/>
                <w:szCs w:val="18"/>
              </w:rPr>
              <w:t xml:space="preserve">The OAS comparison uses the </w:t>
            </w:r>
            <w:r>
              <w:rPr>
                <w:b/>
                <w:bCs/>
                <w:sz w:val="18"/>
                <w:szCs w:val="18"/>
              </w:rPr>
              <w:t xml:space="preserve">first-assembled panel</w:t>
            </w:r>
            <w:r>
              <w:rPr>
                <w:sz w:val="18"/>
                <w:szCs w:val="18"/>
              </w:rPr>
              <w:t xml:space="preserve">, not the current one (p. 44).</w:t>
            </w:r>
          </w:p>
        </w:tc>
        <w:tc>
          <w:tcPr>
            <w:tcW w:type="dxa" w:w="1542"/>
            <w:tcMar>
              <w:top w:type="dxa" w:w="60"/>
              <w:left w:type="dxa" w:w="90"/>
              <w:bottom w:type="dxa" w:w="60"/>
              <w:right w:type="dxa" w:w="90"/>
            </w:tcMar>
          </w:tcPr>
          <w:p>
            <w:pPr>
              <w:spacing w:after="40"/>
            </w:pPr>
            <w:r>
              <w:rPr>
                <w:sz w:val="18"/>
                <w:szCs w:val="18"/>
              </w:rPr>
              <w:t xml:space="preserve">Vendor OAS model; bid side vs mid side.</w:t>
            </w:r>
          </w:p>
        </w:tc>
        <w:tc>
          <w:tcPr>
            <w:tcW w:type="dxa" w:w="1349"/>
            <w:tcMar>
              <w:top w:type="dxa" w:w="60"/>
              <w:left w:type="dxa" w:w="90"/>
              <w:bottom w:type="dxa" w:w="60"/>
              <w:right w:type="dxa" w:w="90"/>
            </w:tcMar>
          </w:tcPr>
          <w:p>
            <w:pPr>
              <w:spacing w:after="40"/>
            </w:pPr>
            <w:r>
              <w:rPr>
                <w:sz w:val="18"/>
                <w:szCs w:val="18"/>
              </w:rPr>
              <w:t xml:space="preserve">None.</w:t>
            </w:r>
          </w:p>
        </w:tc>
        <w:tc>
          <w:tcPr>
            <w:tcW w:type="dxa" w:w="1542"/>
            <w:tcMar>
              <w:top w:type="dxa" w:w="60"/>
              <w:left w:type="dxa" w:w="90"/>
              <w:bottom w:type="dxa" w:w="60"/>
              <w:right w:type="dxa" w:w="90"/>
            </w:tcMar>
          </w:tcPr>
          <w:p>
            <w:pPr>
              <w:spacing w:after="40"/>
            </w:pPr>
            <w:r>
              <w:rPr>
                <w:sz w:val="18"/>
                <w:szCs w:val="18"/>
              </w:rPr>
              <w:t xml:space="preserve">Relevant to both objectives. Re-run on the current panel.</w:t>
            </w:r>
          </w:p>
        </w:tc>
      </w:tr>
      <w:tr>
        <w:tc>
          <w:tcPr>
            <w:tcW w:type="dxa" w:w="1253"/>
            <w:tcMar>
              <w:top w:type="dxa" w:w="60"/>
              <w:left w:type="dxa" w:w="90"/>
              <w:bottom w:type="dxa" w:w="60"/>
              <w:right w:type="dxa" w:w="90"/>
            </w:tcMar>
          </w:tcPr>
          <w:p>
            <w:pPr>
              <w:spacing w:after="40"/>
            </w:pPr>
            <w:r>
              <w:rPr>
                <w:sz w:val="18"/>
                <w:szCs w:val="18"/>
              </w:rPr>
              <w:t xml:space="preserve">M12 Determinants model (RO3)</w:t>
            </w:r>
          </w:p>
        </w:tc>
        <w:tc>
          <w:tcPr>
            <w:tcW w:type="dxa" w:w="964"/>
            <w:tcMar>
              <w:top w:type="dxa" w:w="60"/>
              <w:left w:type="dxa" w:w="90"/>
              <w:bottom w:type="dxa" w:w="60"/>
              <w:right w:type="dxa" w:w="90"/>
            </w:tcMar>
          </w:tcPr>
          <w:p>
            <w:pPr>
              <w:spacing w:after="40"/>
            </w:pPr>
            <w:r>
              <w:rPr>
                <w:sz w:val="18"/>
                <w:szCs w:val="18"/>
              </w:rPr>
              <w:t xml:space="preserve">—</w:t>
            </w:r>
          </w:p>
        </w:tc>
        <w:tc>
          <w:tcPr>
            <w:tcW w:type="dxa" w:w="1446"/>
            <w:tcMar>
              <w:top w:type="dxa" w:w="60"/>
              <w:left w:type="dxa" w:w="90"/>
              <w:bottom w:type="dxa" w:w="60"/>
              <w:right w:type="dxa" w:w="90"/>
            </w:tcMar>
          </w:tcPr>
          <w:p>
            <w:pPr>
              <w:spacing w:after="40"/>
            </w:pPr>
            <w:r>
              <w:rPr>
                <w:sz w:val="18"/>
                <w:szCs w:val="18"/>
              </w:rPr>
              <w:t xml:space="preserve">—</w:t>
            </w:r>
          </w:p>
        </w:tc>
        <w:tc>
          <w:tcPr>
            <w:tcW w:type="dxa" w:w="1542"/>
            <w:tcMar>
              <w:top w:type="dxa" w:w="60"/>
              <w:left w:type="dxa" w:w="90"/>
              <w:bottom w:type="dxa" w:w="60"/>
              <w:right w:type="dxa" w:w="90"/>
            </w:tcMar>
          </w:tcPr>
          <w:p>
            <w:pPr>
              <w:spacing w:after="40"/>
            </w:pPr>
            <w:r>
              <w:rPr>
                <w:b/>
                <w:bCs/>
                <w:sz w:val="18"/>
                <w:szCs w:val="18"/>
              </w:rPr>
              <w:t xml:space="preserve">Absent.</w:t>
            </w:r>
          </w:p>
        </w:tc>
        <w:tc>
          <w:tcPr>
            <w:tcW w:type="dxa" w:w="1542"/>
            <w:tcMar>
              <w:top w:type="dxa" w:w="60"/>
              <w:left w:type="dxa" w:w="90"/>
              <w:bottom w:type="dxa" w:w="60"/>
              <w:right w:type="dxa" w:w="90"/>
            </w:tcMar>
          </w:tcPr>
          <w:p>
            <w:pPr>
              <w:spacing w:after="40"/>
            </w:pPr>
            <w:r>
              <w:rPr>
                <w:sz w:val="18"/>
                <w:szCs w:val="18"/>
              </w:rPr>
              <w:t xml:space="preserve">—</w:t>
            </w:r>
          </w:p>
        </w:tc>
        <w:tc>
          <w:tcPr>
            <w:tcW w:type="dxa" w:w="1349"/>
            <w:tcMar>
              <w:top w:type="dxa" w:w="60"/>
              <w:left w:type="dxa" w:w="90"/>
              <w:bottom w:type="dxa" w:w="60"/>
              <w:right w:type="dxa" w:w="90"/>
            </w:tcMar>
          </w:tcPr>
          <w:p>
            <w:pPr>
              <w:spacing w:after="40"/>
            </w:pPr>
            <w:r>
              <w:rPr>
                <w:sz w:val="18"/>
                <w:szCs w:val="18"/>
              </w:rPr>
              <w:t xml:space="preserve">—</w:t>
            </w:r>
          </w:p>
        </w:tc>
        <w:tc>
          <w:tcPr>
            <w:tcW w:type="dxa" w:w="1542"/>
            <w:tcMar>
              <w:top w:type="dxa" w:w="60"/>
              <w:left w:type="dxa" w:w="90"/>
              <w:bottom w:type="dxa" w:w="60"/>
              <w:right w:type="dxa" w:w="90"/>
            </w:tcMar>
          </w:tcPr>
          <w:p>
            <w:pPr>
              <w:spacing w:after="40"/>
            </w:pPr>
            <w:r>
              <w:rPr>
                <w:sz w:val="18"/>
                <w:szCs w:val="18"/>
              </w:rPr>
              <w:t xml:space="preserve">Objective (b) is unmet (Section 2.1).</w:t>
            </w:r>
          </w:p>
        </w:tc>
      </w:tr>
    </w:tbl>
    <w:p>
      <w:pPr>
        <w:spacing w:after="60"/>
      </w:pPr>
    </w:p>
    <w:p>
      <w:pPr>
        <w:pStyle w:val="Heading2"/>
        <w:spacing w:after="120" w:before="240"/>
      </w:pPr>
      <w:r>
        <w:t xml:space="preserve">3.2 Cross-cutting methodological issues</w:t>
      </w:r>
    </w:p>
    <w:p>
      <w:pPr>
        <w:pStyle w:val="Heading3"/>
        <w:spacing w:after="100" w:before="200"/>
      </w:pPr>
      <w:r>
        <w:t xml:space="preserve">[Critical] M-1. Analysis choices made after the results were seen, and the confirmatory status of H1b</w:t>
      </w:r>
    </w:p>
    <w:p>
      <w:pPr>
        <w:spacing w:after="120" w:line="276"/>
      </w:pPr>
      <w:r>
        <w:t xml:space="preserve">Several design decisions were made or changed after benchmark results existed:</w:t>
      </w:r>
    </w:p>
    <w:p>
      <w:pPr>
        <w:pStyle w:val="ListParagraph"/>
        <w:numPr>
          <w:ilvl w:val="0"/>
          <w:numId w:val="2"/>
        </w:numPr>
        <w:spacing w:after="80" w:line="264"/>
      </w:pPr>
      <w:r>
        <w:t xml:space="preserve">The primary reporting horizon moved from the proposal window to August 2026 (§3.1, p. 3).</w:t>
      </w:r>
    </w:p>
    <w:p>
      <w:pPr>
        <w:pStyle w:val="ListParagraph"/>
        <w:numPr>
          <w:ilvl w:val="0"/>
          <w:numId w:val="2"/>
        </w:numPr>
        <w:spacing w:after="80" w:line="264"/>
      </w:pPr>
      <w:r>
        <w:t xml:space="preserve">Measurement rules were introduced afterwards (§3.7, p. 13).</w:t>
      </w:r>
    </w:p>
    <w:p>
      <w:pPr>
        <w:pStyle w:val="ListParagraph"/>
        <w:numPr>
          <w:ilvl w:val="0"/>
          <w:numId w:val="2"/>
        </w:numPr>
        <w:spacing w:after="80" w:line="264"/>
      </w:pPr>
      <w:r>
        <w:t xml:space="preserve">Matching “was revised more than once”, with undocumented timing (p. 3).</w:t>
      </w:r>
    </w:p>
    <w:p>
      <w:pPr>
        <w:pStyle w:val="ListParagraph"/>
        <w:numPr>
          <w:ilvl w:val="0"/>
          <w:numId w:val="2"/>
        </w:numPr>
        <w:spacing w:after="80" w:line="264"/>
      </w:pPr>
      <w:r>
        <w:t xml:space="preserve">The decision test changed from the t-test (Table 4.17, p. 69) to the sign-flip test (§4.11, p. 50).</w:t>
      </w:r>
    </w:p>
    <w:p>
      <w:pPr>
        <w:pStyle w:val="ListParagraph"/>
        <w:numPr>
          <w:ilvl w:val="0"/>
          <w:numId w:val="2"/>
        </w:numPr>
        <w:spacing w:after="80" w:line="264"/>
      </w:pPr>
      <w:r>
        <w:t xml:space="preserve">The sample was enlarged after null results (§3.16, p. 27).</w:t>
      </w:r>
    </w:p>
    <w:p>
      <w:pPr>
        <w:spacing w:after="120" w:line="276"/>
      </w:pPr>
      <w:r>
        <w:t xml:space="preserve">Taken together, the consequence is decisive. </w:t>
      </w:r>
      <w:r>
        <w:rPr>
          <w:b/>
          <w:bCs/>
        </w:rPr>
        <w:t xml:space="preserve">On the pre-specified window, the Holm-adjusted p-values are 0.0506 for H1b and 0.0506 for H2</w:t>
      </w:r>
      <w:r>
        <w:t xml:space="preserve"> (Table 4.8, p. 50; §5.3, p. 76). The thesis must confront this openly. There are two defensible routes:</w:t>
      </w:r>
    </w:p>
    <w:p>
      <w:pPr>
        <w:pStyle w:val="ListParagraph"/>
        <w:numPr>
          <w:ilvl w:val="0"/>
          <w:numId w:val="2"/>
        </w:numPr>
        <w:spacing w:after="80" w:line="264"/>
      </w:pPr>
      <w:r>
        <w:t xml:space="preserve">Keep the proposal window as the confirmatory test and present the extended horizon as an out-of-sample extension. Or</w:t>
      </w:r>
    </w:p>
    <w:p>
      <w:pPr>
        <w:pStyle w:val="ListParagraph"/>
        <w:numPr>
          <w:ilvl w:val="0"/>
          <w:numId w:val="2"/>
        </w:numPr>
        <w:spacing w:after="80" w:line="264"/>
      </w:pPr>
      <w:r>
        <w:t xml:space="preserve">Treat the nine perpetual pairs formed under the written protocol </w:t>
      </w:r>
      <w:r>
        <w:rPr>
          <w:b/>
          <w:bCs/>
        </w:rPr>
        <w:t xml:space="preserve">before their outcomes were computed</w:t>
      </w:r>
      <w:r>
        <w:t xml:space="preserve"> as a genuine replication sample. They give +240.2 bp with p = 0.0039 (§4.4, p. 32). This is the strongest confirmatory evidence available, and at present it is buried.</w:t>
      </w:r>
    </w:p>
    <w:p>
      <w:pPr>
        <w:spacing w:after="120" w:line="276"/>
      </w:pPr>
      <w:r>
        <w:t xml:space="preserve">Either way, test formally whether the original 16 pairs (+27.2 bp, p = 0.49) and the nine protocol pairs differ, and explain why they do. That explanation (Section 5.2 below) is itself a finding.</w:t>
      </w:r>
    </w:p>
    <w:p>
      <w:pPr>
        <w:pStyle w:val="Heading3"/>
        <w:spacing w:after="100" w:before="200"/>
      </w:pPr>
      <w:r>
        <w:t xml:space="preserve">[Critical] M-2. Identifying the AT1 differential separately from credit risk</w:t>
      </w:r>
    </w:p>
    <w:p>
      <w:pPr>
        <w:spacing w:after="120" w:line="276"/>
      </w:pPr>
      <w:r>
        <w:t xml:space="preserve">Eight of the nine new AT1 matches omit the rating term (§3.16, p. 28). The controls include sovereign or quasi-sovereign senior paper from other jurisdictions: CBB International Sukuk (Bahrain), Mumtalakat, ROP Sukuk Trust, FAB and Oman Sovereign (Table 4.3, pp. 36–37). The treated legs include a Turkish bank that has not been called since 2023 (Bereket One, +694 bp) and a small Bahraini bank (KHCB, +425 bp).</w:t>
      </w:r>
    </w:p>
    <w:p>
      <w:pPr>
        <w:spacing w:after="120" w:line="276"/>
      </w:pPr>
      <w:r>
        <w:t xml:space="preserve">Your own hedonic regression attributes about +190 to +220 bp to unrated status (§4.7, p. 40). The whole-universe re-solve raises the estimate to +119.7 bp because it selects better-rated controls (p. 38). The +27 vs +240 bp split is therefore at least as consistent with a credit channel as with a structural one. Becker et al. (2024) show that even the value of callability is “jointly determined by issuer credit quality”. Recommended remedies:</w:t>
      </w:r>
    </w:p>
    <w:p>
      <w:pPr>
        <w:pStyle w:val="ListParagraph"/>
        <w:numPr>
          <w:ilvl w:val="0"/>
          <w:numId w:val="4"/>
        </w:numPr>
        <w:spacing w:after="80" w:line="264"/>
      </w:pPr>
      <w:r>
        <w:t xml:space="preserve">Match on the issuing bank’s senior rating. The offering documents attribute ratings to the banks (§3.6, p. 13). Add the conventional AT1 notching as a sensitivity.</w:t>
      </w:r>
    </w:p>
    <w:p>
      <w:pPr>
        <w:pStyle w:val="ListParagraph"/>
        <w:numPr>
          <w:ilvl w:val="0"/>
          <w:numId w:val="4"/>
        </w:numPr>
        <w:spacing w:after="80" w:line="264"/>
      </w:pPr>
      <w:r>
        <w:t xml:space="preserve">Promote the within-bank design (M8) to a co-primary design for H1b. It holds the obligor constant and gives about 95–106 bp (§4.7, p. 40).</w:t>
      </w:r>
    </w:p>
    <w:p>
      <w:pPr>
        <w:pStyle w:val="ListParagraph"/>
        <w:numPr>
          <w:ilvl w:val="0"/>
          <w:numId w:val="4"/>
        </w:numPr>
        <w:spacing w:after="80" w:line="264"/>
      </w:pPr>
      <w:r>
        <w:t xml:space="preserve">Report H1b excluding the Turkish lines. At present this is done only for the pooled estimate, which falls from 77.7 to 58.3 bp (p. 86).</w:t>
      </w:r>
    </w:p>
    <w:p>
      <w:pPr>
        <w:pStyle w:val="ListParagraph"/>
        <w:numPr>
          <w:ilvl w:val="0"/>
          <w:numId w:val="4"/>
        </w:numPr>
        <w:spacing w:after="80" w:line="264"/>
      </w:pPr>
      <w:r>
        <w:t xml:space="preserve">Add a same-country control variant.</w:t>
      </w:r>
    </w:p>
    <w:p>
      <w:pPr>
        <w:pStyle w:val="Heading3"/>
        <w:spacing w:after="100" w:before="200"/>
      </w:pPr>
      <w:r>
        <w:t xml:space="preserve">[Major] M-3. Whether the outcome measure is valid</w:t>
      </w:r>
    </w:p>
    <w:p>
      <w:pPr>
        <w:spacing w:after="120" w:line="276"/>
      </w:pPr>
      <w:r>
        <w:t xml:space="preserve">On the extended horizon, the perpetual differential measured in spreads ranges from −139 to +157 bp depending on the source and construction; the first source gives −19.6 bp. In yields it is +104 bp (§4.6, p. 38). For pairs in the same currency and at similar horizons, yield and spread differentials should be close. A disagreement of more than 100 bp is a data-validity signal that must be diagnosed; “no spread-space conclusion is drawn” is not a diagnosis. The perpetual legs also mix yield conventions: most are priced to first call, while Bereket One is priced to perpetuity (p. 43). Recommended checks:</w:t>
      </w:r>
    </w:p>
    <w:p>
      <w:pPr>
        <w:pStyle w:val="ListParagraph"/>
        <w:numPr>
          <w:ilvl w:val="0"/>
          <w:numId w:val="2"/>
        </w:numPr>
        <w:spacing w:after="80" w:line="264"/>
      </w:pPr>
      <w:r>
        <w:t xml:space="preserve">restrict to legs with high evaluation-quality scores;</w:t>
      </w:r>
    </w:p>
    <w:p>
      <w:pPr>
        <w:pStyle w:val="ListParagraph"/>
        <w:numPr>
          <w:ilvl w:val="0"/>
          <w:numId w:val="2"/>
        </w:numPr>
        <w:spacing w:after="80" w:line="264"/>
      </w:pPr>
      <w:r>
        <w:t xml:space="preserve">harmonise to yield-to-worst;</w:t>
      </w:r>
    </w:p>
    <w:p>
      <w:pPr>
        <w:pStyle w:val="ListParagraph"/>
        <w:numPr>
          <w:ilvl w:val="0"/>
          <w:numId w:val="2"/>
        </w:numPr>
        <w:spacing w:after="80" w:line="264"/>
      </w:pPr>
      <w:r>
        <w:t xml:space="preserve">show the yield-vs-spread differential pair by pair, to locate the disagreement.</w:t>
      </w:r>
    </w:p>
    <w:p>
      <w:pPr>
        <w:pStyle w:val="Heading3"/>
        <w:spacing w:after="100" w:before="200"/>
      </w:pPr>
      <w:r>
        <w:t xml:space="preserve">[Major] M-4. No time dimension or event test</w:t>
      </w:r>
    </w:p>
    <w:p>
      <w:pPr>
        <w:spacing w:after="120" w:line="276"/>
      </w:pPr>
      <w:r>
        <w:t xml:space="preserve">The March 2023 AT1 write-down sits inside the sample window and is invoked repeatedly (pp. 3, 78). It is never tested. Bolton, Jiang and Kartasheva (2023) analyse that episode directly. An event-window comparison of the monthly AT1 pair differentials before and after March 2023 is the most direct evidence the thesis could offer on whether loss absorption is “rationally priced”, which is the question in the title. The 2026 call decisions (Table 4.5, p. 46) offer a second event test. Ivashchenko and Rockinger (2026) document about 40 bp price jumps when call decisions are announced.</w:t>
      </w:r>
    </w:p>
    <w:p>
      <w:pPr>
        <w:pStyle w:val="Heading3"/>
        <w:spacing w:after="100" w:before="200"/>
      </w:pPr>
      <w:r>
        <w:t xml:space="preserve">[Major] M-5. Common support and balance</w:t>
      </w:r>
    </w:p>
    <w:p>
      <w:pPr>
        <w:spacing w:after="120" w:line="276"/>
      </w:pPr>
      <w:r>
        <w:t xml:space="preserve">§3.6 is titled “Covariate balance and common support” (p. 12) but reports no overlap analysis. Every standardised mean difference misses the proposal’s 0.10 target (Table 4.9, p. 52), and no regression adjustment is made. Add three things:</w:t>
      </w:r>
    </w:p>
    <w:p>
      <w:pPr>
        <w:pStyle w:val="ListParagraph"/>
        <w:numPr>
          <w:ilvl w:val="0"/>
          <w:numId w:val="2"/>
        </w:numPr>
        <w:spacing w:after="80" w:line="264"/>
      </w:pPr>
      <w:r>
        <w:t xml:space="preserve">an overlap diagnostic, such as the distribution of covariate gaps by class;</w:t>
      </w:r>
    </w:p>
    <w:p>
      <w:pPr>
        <w:pStyle w:val="ListParagraph"/>
        <w:numPr>
          <w:ilvl w:val="0"/>
          <w:numId w:val="2"/>
        </w:numPr>
        <w:spacing w:after="80" w:line="264"/>
      </w:pPr>
      <w:r>
        <w:t xml:space="preserve">a bias-corrected estimate, regressing pair differentials on covariate gaps (Abadie &amp; Imbens, 2011);</w:t>
      </w:r>
    </w:p>
    <w:p>
      <w:pPr>
        <w:pStyle w:val="ListParagraph"/>
        <w:numPr>
          <w:ilvl w:val="0"/>
          <w:numId w:val="2"/>
        </w:numPr>
        <w:spacing w:after="80" w:line="264"/>
      </w:pPr>
      <w:r>
        <w:t xml:space="preserve">a stated tolerance for imbalance.</w:t>
      </w:r>
    </w:p>
    <w:p>
      <w:pPr>
        <w:pStyle w:val="Heading1"/>
        <w:spacing w:after="160" w:before="360"/>
      </w:pPr>
      <w:r>
        <w:t xml:space="preserve">4. Results</w:t>
      </w:r>
    </w:p>
    <w:p>
      <w:pPr>
        <w:pStyle w:val="Heading2"/>
        <w:spacing w:after="120" w:before="240"/>
      </w:pPr>
      <w:r>
        <w:t xml:space="preserve">4.1 (a) Are the results genuine and factual?</w:t>
      </w:r>
    </w:p>
    <w:p>
      <w:pPr>
        <w:spacing w:after="120" w:line="276"/>
      </w:pPr>
      <w:r>
        <w:t xml:space="preserve">I recomputed the core statistics from the draft’s own tables. The arithmetic of the primary estimates holds:</w:t>
      </w:r>
    </w:p>
    <w:p>
      <w:pPr>
        <w:pStyle w:val="ListParagraph"/>
        <w:numPr>
          <w:ilvl w:val="0"/>
          <w:numId w:val="2"/>
        </w:numPr>
        <w:spacing w:after="80" w:line="264"/>
      </w:pPr>
      <w:r>
        <w:t xml:space="preserve">standard errors equal SD/√G (e.g., callable: 125.8/√17 = 30.5);</w:t>
      </w:r>
    </w:p>
    <w:p>
      <w:pPr>
        <w:pStyle w:val="ListParagraph"/>
        <w:numPr>
          <w:ilvl w:val="0"/>
          <w:numId w:val="2"/>
        </w:numPr>
        <w:spacing w:after="80" w:line="264"/>
      </w:pPr>
      <w:r>
        <w:t xml:space="preserve">t-statistics, confidence intervals and minimum detectable effects reproduce (e.g., H1b MDE (2.064 + 0.857) × 39.71 = 116.0);</w:t>
      </w:r>
    </w:p>
    <w:p>
      <w:pPr>
        <w:pStyle w:val="ListParagraph"/>
        <w:numPr>
          <w:ilvl w:val="0"/>
          <w:numId w:val="2"/>
        </w:numPr>
        <w:spacing w:after="80" w:line="264"/>
      </w:pPr>
      <w:r>
        <w:t xml:space="preserve">Holm adjustments reproduce (0.0117 × 3 = 0.0351);</w:t>
      </w:r>
    </w:p>
    <w:p>
      <w:pPr>
        <w:pStyle w:val="ListParagraph"/>
        <w:numPr>
          <w:ilvl w:val="0"/>
          <w:numId w:val="2"/>
        </w:numPr>
        <w:spacing w:after="80" w:line="264"/>
      </w:pPr>
      <w:r>
        <w:t xml:space="preserve">subset decompositions reconcile ((16 × 27.16 + 9 × 240.16)/25 = 103.84).</w:t>
      </w:r>
    </w:p>
    <w:p>
      <w:pPr>
        <w:spacing w:after="120" w:line="276"/>
      </w:pPr>
      <w:r>
        <w:t xml:space="preserve">I have no reason to doubt that the numbers come from the data. The problems are (i) figures that contradict one another across sections (Section 4.2) and (ii) factual statements contradicted by the draft’s own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891"/>
        <w:gridCol w:w="1542"/>
        <w:gridCol w:w="4723"/>
      </w:tblGrid>
      <w:tr>
        <w:trPr>
          <w:tblHeader/>
        </w:trPr>
        <w:tc>
          <w:tcPr>
            <w:tcW w:type="dxa" w:w="482"/>
            <w:shd w:fill="1F3864" w:color="auto" w:val="clear"/>
            <w:tcMar>
              <w:top w:type="dxa" w:w="60"/>
              <w:left w:type="dxa" w:w="90"/>
              <w:bottom w:type="dxa" w:w="60"/>
              <w:right w:type="dxa" w:w="90"/>
            </w:tcMar>
          </w:tcPr>
          <w:p>
            <w:pPr>
              <w:spacing w:after="40"/>
            </w:pPr>
            <w:r>
              <w:rPr>
                <w:b/>
                <w:bCs/>
                <w:color w:val="FFFFFF"/>
                <w:sz w:val="18"/>
                <w:szCs w:val="18"/>
              </w:rPr>
              <w:t xml:space="preserve">#</w:t>
            </w:r>
          </w:p>
        </w:tc>
        <w:tc>
          <w:tcPr>
            <w:tcW w:type="dxa" w:w="2891"/>
            <w:shd w:fill="1F3864" w:color="auto" w:val="clear"/>
            <w:tcMar>
              <w:top w:type="dxa" w:w="60"/>
              <w:left w:type="dxa" w:w="90"/>
              <w:bottom w:type="dxa" w:w="60"/>
              <w:right w:type="dxa" w:w="90"/>
            </w:tcMar>
          </w:tcPr>
          <w:p>
            <w:pPr>
              <w:spacing w:after="40"/>
            </w:pPr>
            <w:r>
              <w:rPr>
                <w:b/>
                <w:bCs/>
                <w:color w:val="FFFFFF"/>
                <w:sz w:val="18"/>
                <w:szCs w:val="18"/>
              </w:rPr>
              <w:t xml:space="preserve">Statement in draft</w:t>
            </w:r>
          </w:p>
        </w:tc>
        <w:tc>
          <w:tcPr>
            <w:tcW w:type="dxa" w:w="1542"/>
            <w:shd w:fill="1F3864" w:color="auto" w:val="clear"/>
            <w:tcMar>
              <w:top w:type="dxa" w:w="60"/>
              <w:left w:type="dxa" w:w="90"/>
              <w:bottom w:type="dxa" w:w="60"/>
              <w:right w:type="dxa" w:w="90"/>
            </w:tcMar>
          </w:tcPr>
          <w:p>
            <w:pPr>
              <w:spacing w:after="40"/>
            </w:pPr>
            <w:r>
              <w:rPr>
                <w:b/>
                <w:bCs/>
                <w:color w:val="FFFFFF"/>
                <w:sz w:val="18"/>
                <w:szCs w:val="18"/>
              </w:rPr>
              <w:t xml:space="preserve">Location</w:t>
            </w:r>
          </w:p>
        </w:tc>
        <w:tc>
          <w:tcPr>
            <w:tcW w:type="dxa" w:w="4723"/>
            <w:shd w:fill="1F3864" w:color="auto" w:val="clear"/>
            <w:tcMar>
              <w:top w:type="dxa" w:w="60"/>
              <w:left w:type="dxa" w:w="90"/>
              <w:bottom w:type="dxa" w:w="60"/>
              <w:right w:type="dxa" w:w="90"/>
            </w:tcMar>
          </w:tcPr>
          <w:p>
            <w:pPr>
              <w:spacing w:after="40"/>
            </w:pPr>
            <w:r>
              <w:rPr>
                <w:b/>
                <w:bCs/>
                <w:color w:val="FFFFFF"/>
                <w:sz w:val="18"/>
                <w:szCs w:val="18"/>
              </w:rPr>
              <w:t xml:space="preserve">What the draft’s own evidence shows</w:t>
            </w:r>
          </w:p>
        </w:tc>
      </w:tr>
      <w:tr>
        <w:tc>
          <w:tcPr>
            <w:tcW w:type="dxa" w:w="482"/>
            <w:tcMar>
              <w:top w:type="dxa" w:w="60"/>
              <w:left w:type="dxa" w:w="90"/>
              <w:bottom w:type="dxa" w:w="60"/>
              <w:right w:type="dxa" w:w="90"/>
            </w:tcMar>
          </w:tcPr>
          <w:p>
            <w:pPr>
              <w:spacing w:after="40"/>
            </w:pPr>
            <w:r>
              <w:rPr>
                <w:sz w:val="18"/>
                <w:szCs w:val="18"/>
              </w:rPr>
              <w:t xml:space="preserve">F1</w:t>
            </w:r>
          </w:p>
        </w:tc>
        <w:tc>
          <w:tcPr>
            <w:tcW w:type="dxa" w:w="2891"/>
            <w:tcMar>
              <w:top w:type="dxa" w:w="60"/>
              <w:left w:type="dxa" w:w="90"/>
              <w:bottom w:type="dxa" w:w="60"/>
              <w:right w:type="dxa" w:w="90"/>
            </w:tcMar>
          </w:tcPr>
          <w:p>
            <w:pPr>
              <w:spacing w:after="40"/>
            </w:pPr>
            <w:r>
              <w:rPr>
                <w:sz w:val="18"/>
                <w:szCs w:val="18"/>
              </w:rPr>
              <w:t xml:space="preserve">“Every Gulf first call observed to date in the cohort was exercised”</w:t>
            </w:r>
          </w:p>
        </w:tc>
        <w:tc>
          <w:tcPr>
            <w:tcW w:type="dxa" w:w="1542"/>
            <w:tcMar>
              <w:top w:type="dxa" w:w="60"/>
              <w:left w:type="dxa" w:w="90"/>
              <w:bottom w:type="dxa" w:w="60"/>
              <w:right w:type="dxa" w:w="90"/>
            </w:tcMar>
          </w:tcPr>
          <w:p>
            <w:pPr>
              <w:spacing w:after="40"/>
            </w:pPr>
            <w:r>
              <w:rPr>
                <w:sz w:val="18"/>
                <w:szCs w:val="18"/>
              </w:rPr>
              <w:t xml:space="preserve">§4.8, p. 43</w:t>
            </w:r>
          </w:p>
        </w:tc>
        <w:tc>
          <w:tcPr>
            <w:tcW w:type="dxa" w:w="4723"/>
            <w:tcMar>
              <w:top w:type="dxa" w:w="60"/>
              <w:left w:type="dxa" w:w="90"/>
              <w:bottom w:type="dxa" w:w="60"/>
              <w:right w:type="dxa" w:w="90"/>
            </w:tcMar>
          </w:tcPr>
          <w:p>
            <w:pPr>
              <w:spacing w:after="40"/>
            </w:pPr>
            <w:r>
              <w:rPr>
                <w:sz w:val="18"/>
                <w:szCs w:val="18"/>
              </w:rPr>
              <w:t xml:space="preserve">The next paragraph reports that Al Baraka Group (Bahrain) was not called (Table 4.5, p. 46).</w:t>
            </w:r>
          </w:p>
        </w:tc>
      </w:tr>
      <w:tr>
        <w:tc>
          <w:tcPr>
            <w:tcW w:type="dxa" w:w="482"/>
            <w:tcMar>
              <w:top w:type="dxa" w:w="60"/>
              <w:left w:type="dxa" w:w="90"/>
              <w:bottom w:type="dxa" w:w="60"/>
              <w:right w:type="dxa" w:w="90"/>
            </w:tcMar>
          </w:tcPr>
          <w:p>
            <w:pPr>
              <w:spacing w:after="40"/>
            </w:pPr>
            <w:r>
              <w:rPr>
                <w:sz w:val="18"/>
                <w:szCs w:val="18"/>
              </w:rPr>
              <w:t xml:space="preserve">F2</w:t>
            </w:r>
          </w:p>
        </w:tc>
        <w:tc>
          <w:tcPr>
            <w:tcW w:type="dxa" w:w="2891"/>
            <w:tcMar>
              <w:top w:type="dxa" w:w="60"/>
              <w:left w:type="dxa" w:w="90"/>
              <w:bottom w:type="dxa" w:w="60"/>
              <w:right w:type="dxa" w:w="90"/>
            </w:tcMar>
          </w:tcPr>
          <w:p>
            <w:pPr>
              <w:spacing w:after="40"/>
            </w:pPr>
            <w:r>
              <w:rPr>
                <w:sz w:val="18"/>
                <w:szCs w:val="18"/>
              </w:rPr>
              <w:t xml:space="preserve">Few callable sukuk have a first call early enough to leave meaningful optionality</w:t>
            </w:r>
          </w:p>
        </w:tc>
        <w:tc>
          <w:tcPr>
            <w:tcW w:type="dxa" w:w="1542"/>
            <w:tcMar>
              <w:top w:type="dxa" w:w="60"/>
              <w:left w:type="dxa" w:w="90"/>
              <w:bottom w:type="dxa" w:w="60"/>
              <w:right w:type="dxa" w:w="90"/>
            </w:tcMar>
          </w:tcPr>
          <w:p>
            <w:pPr>
              <w:spacing w:after="40"/>
            </w:pPr>
            <w:r>
              <w:rPr>
                <w:sz w:val="18"/>
                <w:szCs w:val="18"/>
              </w:rPr>
              <w:t xml:space="preserve">§4.9, p. 47; §4.3, p. 31; §5.2, p. 73</w:t>
            </w:r>
          </w:p>
        </w:tc>
        <w:tc>
          <w:tcPr>
            <w:tcW w:type="dxa" w:w="4723"/>
            <w:tcMar>
              <w:top w:type="dxa" w:w="60"/>
              <w:left w:type="dxa" w:w="90"/>
              <w:bottom w:type="dxa" w:w="60"/>
              <w:right w:type="dxa" w:w="90"/>
            </w:tcMar>
          </w:tcPr>
          <w:p>
            <w:pPr>
              <w:spacing w:after="40"/>
            </w:pPr>
            <w:r>
              <w:rPr>
                <w:sz w:val="18"/>
                <w:szCs w:val="18"/>
              </w:rPr>
              <w:t xml:space="preserve">Table 4.6 (p. 48): across all 20 dated callables the median gap is </w:t>
            </w:r>
            <w:r>
              <w:rPr>
                <w:b/>
                <w:bCs/>
                <w:sz w:val="18"/>
                <w:szCs w:val="18"/>
              </w:rPr>
              <w:t xml:space="preserve">630 days</w:t>
            </w:r>
            <w:r>
              <w:rPr>
                <w:sz w:val="18"/>
                <w:szCs w:val="18"/>
              </w:rPr>
              <w:t xml:space="preserve"> and 55% exceed one year. The claim holds only for the 11 fixed-coupon lines (median 92 days). It also describes the 2026 universe, not the 2020–25 treated legs.</w:t>
            </w:r>
          </w:p>
        </w:tc>
      </w:tr>
      <w:tr>
        <w:tc>
          <w:tcPr>
            <w:tcW w:type="dxa" w:w="482"/>
            <w:tcMar>
              <w:top w:type="dxa" w:w="60"/>
              <w:left w:type="dxa" w:w="90"/>
              <w:bottom w:type="dxa" w:w="60"/>
              <w:right w:type="dxa" w:w="90"/>
            </w:tcMar>
          </w:tcPr>
          <w:p>
            <w:pPr>
              <w:spacing w:after="40"/>
            </w:pPr>
            <w:r>
              <w:rPr>
                <w:sz w:val="18"/>
                <w:szCs w:val="18"/>
              </w:rPr>
              <w:t xml:space="preserve">F3</w:t>
            </w:r>
          </w:p>
        </w:tc>
        <w:tc>
          <w:tcPr>
            <w:tcW w:type="dxa" w:w="2891"/>
            <w:tcMar>
              <w:top w:type="dxa" w:w="60"/>
              <w:left w:type="dxa" w:w="90"/>
              <w:bottom w:type="dxa" w:w="60"/>
              <w:right w:type="dxa" w:w="90"/>
            </w:tcMar>
          </w:tcPr>
          <w:p>
            <w:pPr>
              <w:spacing w:after="40"/>
            </w:pPr>
            <w:r>
              <w:rPr>
                <w:sz w:val="18"/>
                <w:szCs w:val="18"/>
              </w:rPr>
              <w:t xml:space="preserve">AT1 differential applies to “the US dollar Gulf bank segment”</w:t>
            </w:r>
          </w:p>
        </w:tc>
        <w:tc>
          <w:tcPr>
            <w:tcW w:type="dxa" w:w="1542"/>
            <w:tcMar>
              <w:top w:type="dxa" w:w="60"/>
              <w:left w:type="dxa" w:w="90"/>
              <w:bottom w:type="dxa" w:w="60"/>
              <w:right w:type="dxa" w:w="90"/>
            </w:tcMar>
          </w:tcPr>
          <w:p>
            <w:pPr>
              <w:spacing w:after="40"/>
            </w:pPr>
            <w:r>
              <w:rPr>
                <w:sz w:val="18"/>
                <w:szCs w:val="18"/>
              </w:rPr>
              <w:t xml:space="preserve">§5.12, p. 94</w:t>
            </w:r>
          </w:p>
        </w:tc>
        <w:tc>
          <w:tcPr>
            <w:tcW w:type="dxa" w:w="4723"/>
            <w:tcMar>
              <w:top w:type="dxa" w:w="60"/>
              <w:left w:type="dxa" w:w="90"/>
              <w:bottom w:type="dxa" w:w="60"/>
              <w:right w:type="dxa" w:w="90"/>
            </w:tcMar>
          </w:tcPr>
          <w:p>
            <w:pPr>
              <w:spacing w:after="40"/>
            </w:pPr>
            <w:r>
              <w:rPr>
                <w:sz w:val="18"/>
                <w:szCs w:val="18"/>
              </w:rPr>
              <w:t xml:space="preserve">The sample includes Turkish banks (Albaraka Türk / Bereket One; Kuveyt Türk / KT One; Table 4.3, pp. 36–37).</w:t>
            </w:r>
          </w:p>
        </w:tc>
      </w:tr>
      <w:tr>
        <w:tc>
          <w:tcPr>
            <w:tcW w:type="dxa" w:w="482"/>
            <w:tcMar>
              <w:top w:type="dxa" w:w="60"/>
              <w:left w:type="dxa" w:w="90"/>
              <w:bottom w:type="dxa" w:w="60"/>
              <w:right w:type="dxa" w:w="90"/>
            </w:tcMar>
          </w:tcPr>
          <w:p>
            <w:pPr>
              <w:spacing w:after="40"/>
            </w:pPr>
            <w:r>
              <w:rPr>
                <w:sz w:val="18"/>
                <w:szCs w:val="18"/>
              </w:rPr>
              <w:t xml:space="preserve">F4</w:t>
            </w:r>
          </w:p>
        </w:tc>
        <w:tc>
          <w:tcPr>
            <w:tcW w:type="dxa" w:w="2891"/>
            <w:tcMar>
              <w:top w:type="dxa" w:w="60"/>
              <w:left w:type="dxa" w:w="90"/>
              <w:bottom w:type="dxa" w:w="60"/>
              <w:right w:type="dxa" w:w="90"/>
            </w:tcMar>
          </w:tcPr>
          <w:p>
            <w:pPr>
              <w:spacing w:after="40"/>
            </w:pPr>
            <w:r>
              <w:rPr>
                <w:sz w:val="18"/>
                <w:szCs w:val="18"/>
              </w:rPr>
              <w:t xml:space="preserve">“What the evidence rules out is that the differential is an artefact of credit mismatch”</w:t>
            </w:r>
          </w:p>
        </w:tc>
        <w:tc>
          <w:tcPr>
            <w:tcW w:type="dxa" w:w="1542"/>
            <w:tcMar>
              <w:top w:type="dxa" w:w="60"/>
              <w:left w:type="dxa" w:w="90"/>
              <w:bottom w:type="dxa" w:w="60"/>
              <w:right w:type="dxa" w:w="90"/>
            </w:tcMar>
          </w:tcPr>
          <w:p>
            <w:pPr>
              <w:spacing w:after="40"/>
            </w:pPr>
            <w:r>
              <w:rPr>
                <w:sz w:val="18"/>
                <w:szCs w:val="18"/>
              </w:rPr>
              <w:t xml:space="preserve">§5.4, p. 80</w:t>
            </w:r>
          </w:p>
        </w:tc>
        <w:tc>
          <w:tcPr>
            <w:tcW w:type="dxa" w:w="4723"/>
            <w:tcMar>
              <w:top w:type="dxa" w:w="60"/>
              <w:left w:type="dxa" w:w="90"/>
              <w:bottom w:type="dxa" w:w="60"/>
              <w:right w:type="dxa" w:w="90"/>
            </w:tcMar>
          </w:tcPr>
          <w:p>
            <w:pPr>
              <w:spacing w:after="40"/>
            </w:pPr>
            <w:r>
              <w:rPr>
                <w:sz w:val="18"/>
                <w:szCs w:val="18"/>
              </w:rPr>
              <w:t xml:space="preserve">Six of 25 pairs cannot be placed on the rating scale (p. 34), and significance disappears in every credit-controlled subset (p = 0.085 to 0.209). The evidence does not rule this out.</w:t>
            </w:r>
          </w:p>
        </w:tc>
      </w:tr>
      <w:tr>
        <w:tc>
          <w:tcPr>
            <w:tcW w:type="dxa" w:w="482"/>
            <w:tcMar>
              <w:top w:type="dxa" w:w="60"/>
              <w:left w:type="dxa" w:w="90"/>
              <w:bottom w:type="dxa" w:w="60"/>
              <w:right w:type="dxa" w:w="90"/>
            </w:tcMar>
          </w:tcPr>
          <w:p>
            <w:pPr>
              <w:spacing w:after="40"/>
            </w:pPr>
            <w:r>
              <w:rPr>
                <w:sz w:val="18"/>
                <w:szCs w:val="18"/>
              </w:rPr>
              <w:t xml:space="preserve">F5</w:t>
            </w:r>
          </w:p>
        </w:tc>
        <w:tc>
          <w:tcPr>
            <w:tcW w:type="dxa" w:w="2891"/>
            <w:tcMar>
              <w:top w:type="dxa" w:w="60"/>
              <w:left w:type="dxa" w:w="90"/>
              <w:bottom w:type="dxa" w:w="60"/>
              <w:right w:type="dxa" w:w="90"/>
            </w:tcMar>
          </w:tcPr>
          <w:p>
            <w:pPr>
              <w:spacing w:after="40"/>
            </w:pPr>
            <w:r>
              <w:rPr>
                <w:sz w:val="18"/>
                <w:szCs w:val="18"/>
              </w:rPr>
              <w:t xml:space="preserve">Within-bank AT1 estimate “plus 106.0 bp (SE 16.0)”</w:t>
            </w:r>
          </w:p>
        </w:tc>
        <w:tc>
          <w:tcPr>
            <w:tcW w:type="dxa" w:w="1542"/>
            <w:tcMar>
              <w:top w:type="dxa" w:w="60"/>
              <w:left w:type="dxa" w:w="90"/>
              <w:bottom w:type="dxa" w:w="60"/>
              <w:right w:type="dxa" w:w="90"/>
            </w:tcMar>
          </w:tcPr>
          <w:p>
            <w:pPr>
              <w:spacing w:after="40"/>
            </w:pPr>
            <w:r>
              <w:rPr>
                <w:sz w:val="18"/>
                <w:szCs w:val="18"/>
              </w:rPr>
              <w:t xml:space="preserve">§4.7, p. 40</w:t>
            </w:r>
          </w:p>
        </w:tc>
        <w:tc>
          <w:tcPr>
            <w:tcW w:type="dxa" w:w="4723"/>
            <w:tcMar>
              <w:top w:type="dxa" w:w="60"/>
              <w:left w:type="dxa" w:w="90"/>
              <w:bottom w:type="dxa" w:w="60"/>
              <w:right w:type="dxa" w:w="90"/>
            </w:tcMar>
          </w:tcPr>
          <w:p>
            <w:pPr>
              <w:spacing w:after="40"/>
            </w:pPr>
            <w:r>
              <w:rPr>
                <w:sz w:val="18"/>
                <w:szCs w:val="18"/>
              </w:rPr>
              <w:t xml:space="preserve">Table 4.4 (p. 41) reports 94.49 (SE 15.99) for the same row.</w:t>
            </w:r>
          </w:p>
        </w:tc>
      </w:tr>
      <w:tr>
        <w:tc>
          <w:tcPr>
            <w:tcW w:type="dxa" w:w="482"/>
            <w:tcMar>
              <w:top w:type="dxa" w:w="60"/>
              <w:left w:type="dxa" w:w="90"/>
              <w:bottom w:type="dxa" w:w="60"/>
              <w:right w:type="dxa" w:w="90"/>
            </w:tcMar>
          </w:tcPr>
          <w:p>
            <w:pPr>
              <w:spacing w:after="40"/>
            </w:pPr>
            <w:r>
              <w:rPr>
                <w:sz w:val="18"/>
                <w:szCs w:val="18"/>
              </w:rPr>
              <w:t xml:space="preserve">F6</w:t>
            </w:r>
          </w:p>
        </w:tc>
        <w:tc>
          <w:tcPr>
            <w:tcW w:type="dxa" w:w="2891"/>
            <w:tcMar>
              <w:top w:type="dxa" w:w="60"/>
              <w:left w:type="dxa" w:w="90"/>
              <w:bottom w:type="dxa" w:w="60"/>
              <w:right w:type="dxa" w:w="90"/>
            </w:tcMar>
          </w:tcPr>
          <w:p>
            <w:pPr>
              <w:spacing w:after="40"/>
            </w:pPr>
            <w:r>
              <w:rPr>
                <w:sz w:val="18"/>
                <w:szCs w:val="18"/>
              </w:rPr>
              <w:t xml:space="preserve">Perpetual “equal-pair bootstrap interval runs from +21.9 to +185.8”</w:t>
            </w:r>
          </w:p>
        </w:tc>
        <w:tc>
          <w:tcPr>
            <w:tcW w:type="dxa" w:w="1542"/>
            <w:tcMar>
              <w:top w:type="dxa" w:w="60"/>
              <w:left w:type="dxa" w:w="90"/>
              <w:bottom w:type="dxa" w:w="60"/>
              <w:right w:type="dxa" w:w="90"/>
            </w:tcMar>
          </w:tcPr>
          <w:p>
            <w:pPr>
              <w:spacing w:after="40"/>
            </w:pPr>
            <w:r>
              <w:rPr>
                <w:sz w:val="18"/>
                <w:szCs w:val="18"/>
              </w:rPr>
              <w:t xml:space="preserve">§4.4, p. 32</w:t>
            </w:r>
          </w:p>
        </w:tc>
        <w:tc>
          <w:tcPr>
            <w:tcW w:type="dxa" w:w="4723"/>
            <w:tcMar>
              <w:top w:type="dxa" w:w="60"/>
              <w:left w:type="dxa" w:w="90"/>
              <w:bottom w:type="dxa" w:w="60"/>
              <w:right w:type="dxa" w:w="90"/>
            </w:tcMar>
          </w:tcPr>
          <w:p>
            <w:pPr>
              <w:spacing w:after="40"/>
            </w:pPr>
            <w:r>
              <w:rPr>
                <w:sz w:val="18"/>
                <w:szCs w:val="18"/>
              </w:rPr>
              <w:t xml:space="preserve">Table 4.1 (p. 35) and §5.3 (p. 76) give +30.4 to +183.0. The p. 32 figures are the </w:t>
            </w:r>
            <w:r>
              <w:rPr>
                <w:i/>
                <w:iCs/>
                <w:sz w:val="18"/>
                <w:szCs w:val="18"/>
              </w:rPr>
              <w:t xml:space="preserve">t</w:t>
            </w:r>
            <w:r>
              <w:rPr>
                <w:sz w:val="18"/>
                <w:szCs w:val="18"/>
              </w:rPr>
              <w:t xml:space="preserve">-interval (103.84 ± 2.064 × 39.71).</w:t>
            </w:r>
          </w:p>
        </w:tc>
      </w:tr>
      <w:tr>
        <w:tc>
          <w:tcPr>
            <w:tcW w:type="dxa" w:w="482"/>
            <w:tcMar>
              <w:top w:type="dxa" w:w="60"/>
              <w:left w:type="dxa" w:w="90"/>
              <w:bottom w:type="dxa" w:w="60"/>
              <w:right w:type="dxa" w:w="90"/>
            </w:tcMar>
          </w:tcPr>
          <w:p>
            <w:pPr>
              <w:spacing w:after="40"/>
            </w:pPr>
            <w:r>
              <w:rPr>
                <w:sz w:val="18"/>
                <w:szCs w:val="18"/>
              </w:rPr>
              <w:t xml:space="preserve">F7</w:t>
            </w:r>
          </w:p>
        </w:tc>
        <w:tc>
          <w:tcPr>
            <w:tcW w:type="dxa" w:w="2891"/>
            <w:tcMar>
              <w:top w:type="dxa" w:w="60"/>
              <w:left w:type="dxa" w:w="90"/>
              <w:bottom w:type="dxa" w:w="60"/>
              <w:right w:type="dxa" w:w="90"/>
            </w:tcMar>
          </w:tcPr>
          <w:p>
            <w:pPr>
              <w:spacing w:after="40"/>
            </w:pPr>
            <w:r>
              <w:rPr>
                <w:sz w:val="18"/>
                <w:szCs w:val="18"/>
              </w:rPr>
              <w:t xml:space="preserve">Baker et al. (2022) “find a small premium that disappears when green and ordinary bonds are issued simultaneously by the same issuer”</w:t>
            </w:r>
          </w:p>
        </w:tc>
        <w:tc>
          <w:tcPr>
            <w:tcW w:type="dxa" w:w="1542"/>
            <w:tcMar>
              <w:top w:type="dxa" w:w="60"/>
              <w:left w:type="dxa" w:w="90"/>
              <w:bottom w:type="dxa" w:w="60"/>
              <w:right w:type="dxa" w:w="90"/>
            </w:tcMar>
          </w:tcPr>
          <w:p>
            <w:pPr>
              <w:spacing w:after="40"/>
            </w:pPr>
            <w:r>
              <w:rPr>
                <w:sz w:val="18"/>
                <w:szCs w:val="18"/>
              </w:rPr>
              <w:t xml:space="preserve">§5.4, p. 81</w:t>
            </w:r>
          </w:p>
        </w:tc>
        <w:tc>
          <w:tcPr>
            <w:tcW w:type="dxa" w:w="4723"/>
            <w:tcMar>
              <w:top w:type="dxa" w:w="60"/>
              <w:left w:type="dxa" w:w="90"/>
              <w:bottom w:type="dxa" w:w="60"/>
              <w:right w:type="dxa" w:w="90"/>
            </w:tcMar>
          </w:tcPr>
          <w:p>
            <w:pPr>
              <w:spacing w:after="40"/>
            </w:pPr>
            <w:r>
              <w:rPr>
                <w:sz w:val="18"/>
                <w:szCs w:val="18"/>
              </w:rPr>
              <w:t xml:space="preserve">The abstract continues: “in that situation, a premium emerges over time on the secondary market”. The omitted half is the part most relevant to a secondary-market thesis.</w:t>
            </w:r>
          </w:p>
        </w:tc>
      </w:tr>
    </w:tbl>
    <w:p>
      <w:pPr>
        <w:spacing w:after="60"/>
      </w:pPr>
    </w:p>
    <w:p>
      <w:pPr>
        <w:pStyle w:val="Heading2"/>
        <w:spacing w:after="120" w:before="240"/>
      </w:pPr>
      <w:r>
        <w:t xml:space="preserve">4.2 (b) Consistency</w:t>
      </w:r>
    </w:p>
    <w:p>
      <w:pPr>
        <w:spacing w:after="120" w:line="276"/>
      </w:pPr>
      <w:r>
        <w:t xml:space="preserve">Each row below is a pair of statements that cannot both be true. All must be reconciled.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410"/>
        <w:gridCol w:w="3373"/>
        <w:gridCol w:w="3373"/>
      </w:tblGrid>
      <w:tr>
        <w:trPr>
          <w:tblHeader/>
        </w:trPr>
        <w:tc>
          <w:tcPr>
            <w:tcW w:type="dxa" w:w="482"/>
            <w:shd w:fill="1F3864" w:color="auto" w:val="clear"/>
            <w:tcMar>
              <w:top w:type="dxa" w:w="60"/>
              <w:left w:type="dxa" w:w="90"/>
              <w:bottom w:type="dxa" w:w="60"/>
              <w:right w:type="dxa" w:w="90"/>
            </w:tcMar>
          </w:tcPr>
          <w:p>
            <w:pPr>
              <w:spacing w:after="40"/>
            </w:pPr>
            <w:r>
              <w:rPr>
                <w:b/>
                <w:bCs/>
                <w:color w:val="FFFFFF"/>
                <w:sz w:val="18"/>
                <w:szCs w:val="18"/>
              </w:rPr>
              <w:t xml:space="preserve">#</w:t>
            </w:r>
          </w:p>
        </w:tc>
        <w:tc>
          <w:tcPr>
            <w:tcW w:type="dxa" w:w="2410"/>
            <w:shd w:fill="1F3864" w:color="auto" w:val="clear"/>
            <w:tcMar>
              <w:top w:type="dxa" w:w="60"/>
              <w:left w:type="dxa" w:w="90"/>
              <w:bottom w:type="dxa" w:w="60"/>
              <w:right w:type="dxa" w:w="90"/>
            </w:tcMar>
          </w:tcPr>
          <w:p>
            <w:pPr>
              <w:spacing w:after="40"/>
            </w:pPr>
            <w:r>
              <w:rPr>
                <w:b/>
                <w:bCs/>
                <w:color w:val="FFFFFF"/>
                <w:sz w:val="18"/>
                <w:szCs w:val="18"/>
              </w:rPr>
              <w:t xml:space="preserve">Quantity</w:t>
            </w:r>
          </w:p>
        </w:tc>
        <w:tc>
          <w:tcPr>
            <w:tcW w:type="dxa" w:w="3373"/>
            <w:shd w:fill="1F3864" w:color="auto" w:val="clear"/>
            <w:tcMar>
              <w:top w:type="dxa" w:w="60"/>
              <w:left w:type="dxa" w:w="90"/>
              <w:bottom w:type="dxa" w:w="60"/>
              <w:right w:type="dxa" w:w="90"/>
            </w:tcMar>
          </w:tcPr>
          <w:p>
            <w:pPr>
              <w:spacing w:after="40"/>
            </w:pPr>
            <w:r>
              <w:rPr>
                <w:b/>
                <w:bCs/>
                <w:color w:val="FFFFFF"/>
                <w:sz w:val="18"/>
                <w:szCs w:val="18"/>
              </w:rPr>
              <w:t xml:space="preserve">Value A (location)</w:t>
            </w:r>
          </w:p>
        </w:tc>
        <w:tc>
          <w:tcPr>
            <w:tcW w:type="dxa" w:w="3373"/>
            <w:shd w:fill="1F3864" w:color="auto" w:val="clear"/>
            <w:tcMar>
              <w:top w:type="dxa" w:w="60"/>
              <w:left w:type="dxa" w:w="90"/>
              <w:bottom w:type="dxa" w:w="60"/>
              <w:right w:type="dxa" w:w="90"/>
            </w:tcMar>
          </w:tcPr>
          <w:p>
            <w:pPr>
              <w:spacing w:after="40"/>
            </w:pPr>
            <w:r>
              <w:rPr>
                <w:b/>
                <w:bCs/>
                <w:color w:val="FFFFFF"/>
                <w:sz w:val="18"/>
                <w:szCs w:val="18"/>
              </w:rPr>
              <w:t xml:space="preserve">Value B (location)</w:t>
            </w:r>
          </w:p>
        </w:tc>
      </w:tr>
      <w:tr>
        <w:tc>
          <w:tcPr>
            <w:tcW w:type="dxa" w:w="482"/>
            <w:tcMar>
              <w:top w:type="dxa" w:w="60"/>
              <w:left w:type="dxa" w:w="90"/>
              <w:bottom w:type="dxa" w:w="60"/>
              <w:right w:type="dxa" w:w="90"/>
            </w:tcMar>
          </w:tcPr>
          <w:p>
            <w:pPr>
              <w:spacing w:after="40"/>
            </w:pPr>
            <w:r>
              <w:rPr>
                <w:sz w:val="18"/>
                <w:szCs w:val="18"/>
              </w:rPr>
              <w:t xml:space="preserve">C1</w:t>
            </w:r>
          </w:p>
        </w:tc>
        <w:tc>
          <w:tcPr>
            <w:tcW w:type="dxa" w:w="2410"/>
            <w:tcMar>
              <w:top w:type="dxa" w:w="60"/>
              <w:left w:type="dxa" w:w="90"/>
              <w:bottom w:type="dxa" w:w="60"/>
              <w:right w:type="dxa" w:w="90"/>
            </w:tcMar>
          </w:tcPr>
          <w:p>
            <w:pPr>
              <w:spacing w:after="40"/>
            </w:pPr>
            <w:r>
              <w:rPr>
                <w:sz w:val="18"/>
                <w:szCs w:val="18"/>
              </w:rPr>
              <w:t xml:space="preserve">Benchmark perpetual pairs after the measurement rules</w:t>
            </w:r>
          </w:p>
        </w:tc>
        <w:tc>
          <w:tcPr>
            <w:tcW w:type="dxa" w:w="3373"/>
            <w:tcMar>
              <w:top w:type="dxa" w:w="60"/>
              <w:left w:type="dxa" w:w="90"/>
              <w:bottom w:type="dxa" w:w="60"/>
              <w:right w:type="dxa" w:w="90"/>
            </w:tcMar>
          </w:tcPr>
          <w:p>
            <w:pPr>
              <w:spacing w:after="40"/>
            </w:pPr>
            <w:r>
              <w:rPr>
                <w:sz w:val="18"/>
                <w:szCs w:val="18"/>
              </w:rPr>
              <w:t xml:space="preserve">16 pairs, 325 pair-months; 29 in total (§3.4, p. 8; §3.15, p. 24)</w:t>
            </w:r>
          </w:p>
        </w:tc>
        <w:tc>
          <w:tcPr>
            <w:tcW w:type="dxa" w:w="3373"/>
            <w:tcMar>
              <w:top w:type="dxa" w:w="60"/>
              <w:left w:type="dxa" w:w="90"/>
              <w:bottom w:type="dxa" w:w="60"/>
              <w:right w:type="dxa" w:w="90"/>
            </w:tcMar>
          </w:tcPr>
          <w:p>
            <w:pPr>
              <w:spacing w:after="40"/>
            </w:pPr>
            <w:r>
              <w:rPr>
                <w:sz w:val="18"/>
                <w:szCs w:val="18"/>
              </w:rPr>
              <w:t xml:space="preserve">G = 14; 27 in total (Table 4.1, p. 35; §4.4, p. 32)</w:t>
            </w:r>
          </w:p>
        </w:tc>
      </w:tr>
      <w:tr>
        <w:tc>
          <w:tcPr>
            <w:tcW w:type="dxa" w:w="482"/>
            <w:tcMar>
              <w:top w:type="dxa" w:w="60"/>
              <w:left w:type="dxa" w:w="90"/>
              <w:bottom w:type="dxa" w:w="60"/>
              <w:right w:type="dxa" w:w="90"/>
            </w:tcMar>
          </w:tcPr>
          <w:p>
            <w:pPr>
              <w:spacing w:after="40"/>
            </w:pPr>
            <w:r>
              <w:rPr>
                <w:sz w:val="18"/>
                <w:szCs w:val="18"/>
              </w:rPr>
              <w:t xml:space="preserve">C2</w:t>
            </w:r>
          </w:p>
        </w:tc>
        <w:tc>
          <w:tcPr>
            <w:tcW w:type="dxa" w:w="2410"/>
            <w:tcMar>
              <w:top w:type="dxa" w:w="60"/>
              <w:left w:type="dxa" w:w="90"/>
              <w:bottom w:type="dxa" w:w="60"/>
              <w:right w:type="dxa" w:w="90"/>
            </w:tcMar>
          </w:tcPr>
          <w:p>
            <w:pPr>
              <w:spacing w:after="40"/>
            </w:pPr>
            <w:r>
              <w:rPr>
                <w:sz w:val="18"/>
                <w:szCs w:val="18"/>
              </w:rPr>
              <w:t xml:space="preserve">Panel mean ÷ equal-pair mean, callable</w:t>
            </w:r>
          </w:p>
        </w:tc>
        <w:tc>
          <w:tcPr>
            <w:tcW w:type="dxa" w:w="3373"/>
            <w:tcMar>
              <w:top w:type="dxa" w:w="60"/>
              <w:left w:type="dxa" w:w="90"/>
              <w:bottom w:type="dxa" w:w="60"/>
              <w:right w:type="dxa" w:w="90"/>
            </w:tcMar>
          </w:tcPr>
          <w:p>
            <w:pPr>
              <w:spacing w:after="40"/>
            </w:pPr>
            <w:r>
              <w:rPr>
                <w:sz w:val="18"/>
                <w:szCs w:val="18"/>
              </w:rPr>
              <w:t xml:space="preserve">“factor of 2.24” (§3.2, p. 5)</w:t>
            </w:r>
          </w:p>
        </w:tc>
        <w:tc>
          <w:tcPr>
            <w:tcW w:type="dxa" w:w="3373"/>
            <w:tcMar>
              <w:top w:type="dxa" w:w="60"/>
              <w:left w:type="dxa" w:w="90"/>
              <w:bottom w:type="dxa" w:w="60"/>
              <w:right w:type="dxa" w:w="90"/>
            </w:tcMar>
          </w:tcPr>
          <w:p>
            <w:pPr>
              <w:spacing w:after="40"/>
            </w:pPr>
            <w:r>
              <w:rPr>
                <w:sz w:val="18"/>
                <w:szCs w:val="18"/>
              </w:rPr>
              <w:t xml:space="preserve">“factor of 2.22” (§5.9, p. 89); 5.74 (Table 4.10, pp. 54–55)</w:t>
            </w:r>
          </w:p>
        </w:tc>
      </w:tr>
      <w:tr>
        <w:tc>
          <w:tcPr>
            <w:tcW w:type="dxa" w:w="482"/>
            <w:tcMar>
              <w:top w:type="dxa" w:w="60"/>
              <w:left w:type="dxa" w:w="90"/>
              <w:bottom w:type="dxa" w:w="60"/>
              <w:right w:type="dxa" w:w="90"/>
            </w:tcMar>
          </w:tcPr>
          <w:p>
            <w:pPr>
              <w:spacing w:after="40"/>
            </w:pPr>
            <w:r>
              <w:rPr>
                <w:sz w:val="18"/>
                <w:szCs w:val="18"/>
              </w:rPr>
              <w:t xml:space="preserve">C3</w:t>
            </w:r>
          </w:p>
        </w:tc>
        <w:tc>
          <w:tcPr>
            <w:tcW w:type="dxa" w:w="2410"/>
            <w:tcMar>
              <w:top w:type="dxa" w:w="60"/>
              <w:left w:type="dxa" w:w="90"/>
              <w:bottom w:type="dxa" w:w="60"/>
              <w:right w:type="dxa" w:w="90"/>
            </w:tcMar>
          </w:tcPr>
          <w:p>
            <w:pPr>
              <w:spacing w:after="40"/>
            </w:pPr>
            <w:r>
              <w:rPr>
                <w:sz w:val="18"/>
                <w:szCs w:val="18"/>
              </w:rPr>
              <w:t xml:space="preserve">Perpetual liquidity imbalance (SMD)</w:t>
            </w:r>
          </w:p>
        </w:tc>
        <w:tc>
          <w:tcPr>
            <w:tcW w:type="dxa" w:w="3373"/>
            <w:tcMar>
              <w:top w:type="dxa" w:w="60"/>
              <w:left w:type="dxa" w:w="90"/>
              <w:bottom w:type="dxa" w:w="60"/>
              <w:right w:type="dxa" w:w="90"/>
            </w:tcMar>
          </w:tcPr>
          <w:p>
            <w:pPr>
              <w:spacing w:after="40"/>
            </w:pPr>
            <w:r>
              <w:rPr>
                <w:sz w:val="18"/>
                <w:szCs w:val="18"/>
              </w:rPr>
              <w:t xml:space="preserve">−1.32 final, −0.87 benchmark (§4.2, p. 30)</w:t>
            </w:r>
          </w:p>
        </w:tc>
        <w:tc>
          <w:tcPr>
            <w:tcW w:type="dxa" w:w="3373"/>
            <w:tcMar>
              <w:top w:type="dxa" w:w="60"/>
              <w:left w:type="dxa" w:w="90"/>
              <w:bottom w:type="dxa" w:w="60"/>
              <w:right w:type="dxa" w:w="90"/>
            </w:tcMar>
          </w:tcPr>
          <w:p>
            <w:pPr>
              <w:spacing w:after="40"/>
            </w:pPr>
            <w:r>
              <w:rPr>
                <w:sz w:val="18"/>
                <w:szCs w:val="18"/>
              </w:rPr>
              <w:t xml:space="preserve">−0.31 (Table 4.9, p. 52); −0.60, −0.85, −1.37 (§4.8, p. 45)</w:t>
            </w:r>
          </w:p>
        </w:tc>
      </w:tr>
      <w:tr>
        <w:tc>
          <w:tcPr>
            <w:tcW w:type="dxa" w:w="482"/>
            <w:tcMar>
              <w:top w:type="dxa" w:w="60"/>
              <w:left w:type="dxa" w:w="90"/>
              <w:bottom w:type="dxa" w:w="60"/>
              <w:right w:type="dxa" w:w="90"/>
            </w:tcMar>
          </w:tcPr>
          <w:p>
            <w:pPr>
              <w:spacing w:after="40"/>
            </w:pPr>
            <w:r>
              <w:rPr>
                <w:sz w:val="18"/>
                <w:szCs w:val="18"/>
              </w:rPr>
              <w:t xml:space="preserve">C4</w:t>
            </w:r>
          </w:p>
        </w:tc>
        <w:tc>
          <w:tcPr>
            <w:tcW w:type="dxa" w:w="2410"/>
            <w:tcMar>
              <w:top w:type="dxa" w:w="60"/>
              <w:left w:type="dxa" w:w="90"/>
              <w:bottom w:type="dxa" w:w="60"/>
              <w:right w:type="dxa" w:w="90"/>
            </w:tcMar>
          </w:tcPr>
          <w:p>
            <w:pPr>
              <w:spacing w:after="40"/>
            </w:pPr>
            <w:r>
              <w:rPr>
                <w:sz w:val="18"/>
                <w:szCs w:val="18"/>
              </w:rPr>
              <w:t xml:space="preserve">Sign-flip p, callable benchmark</w:t>
            </w:r>
          </w:p>
        </w:tc>
        <w:tc>
          <w:tcPr>
            <w:tcW w:type="dxa" w:w="3373"/>
            <w:tcMar>
              <w:top w:type="dxa" w:w="60"/>
              <w:left w:type="dxa" w:w="90"/>
              <w:bottom w:type="dxa" w:w="60"/>
              <w:right w:type="dxa" w:w="90"/>
            </w:tcMar>
          </w:tcPr>
          <w:p>
            <w:pPr>
              <w:spacing w:after="40"/>
            </w:pPr>
            <w:r>
              <w:rPr>
                <w:sz w:val="18"/>
                <w:szCs w:val="18"/>
              </w:rPr>
              <w:t xml:space="preserve">0.9915 (Table 4.10, pp. 54–55)</w:t>
            </w:r>
          </w:p>
        </w:tc>
        <w:tc>
          <w:tcPr>
            <w:tcW w:type="dxa" w:w="3373"/>
            <w:tcMar>
              <w:top w:type="dxa" w:w="60"/>
              <w:left w:type="dxa" w:w="90"/>
              <w:bottom w:type="dxa" w:w="60"/>
              <w:right w:type="dxa" w:w="90"/>
            </w:tcMar>
          </w:tcPr>
          <w:p>
            <w:pPr>
              <w:spacing w:after="40"/>
            </w:pPr>
            <w:r>
              <w:rPr>
                <w:sz w:val="18"/>
                <w:szCs w:val="18"/>
              </w:rPr>
              <w:t xml:space="preserve">0.9717 (Table 4.18, p. 71)</w:t>
            </w:r>
          </w:p>
        </w:tc>
      </w:tr>
      <w:tr>
        <w:tc>
          <w:tcPr>
            <w:tcW w:type="dxa" w:w="482"/>
            <w:tcMar>
              <w:top w:type="dxa" w:w="60"/>
              <w:left w:type="dxa" w:w="90"/>
              <w:bottom w:type="dxa" w:w="60"/>
              <w:right w:type="dxa" w:w="90"/>
            </w:tcMar>
          </w:tcPr>
          <w:p>
            <w:pPr>
              <w:spacing w:after="40"/>
            </w:pPr>
            <w:r>
              <w:rPr>
                <w:sz w:val="18"/>
                <w:szCs w:val="18"/>
              </w:rPr>
              <w:t xml:space="preserve">C5</w:t>
            </w:r>
          </w:p>
        </w:tc>
        <w:tc>
          <w:tcPr>
            <w:tcW w:type="dxa" w:w="2410"/>
            <w:tcMar>
              <w:top w:type="dxa" w:w="60"/>
              <w:left w:type="dxa" w:w="90"/>
              <w:bottom w:type="dxa" w:w="60"/>
              <w:right w:type="dxa" w:w="90"/>
            </w:tcMar>
          </w:tcPr>
          <w:p>
            <w:pPr>
              <w:spacing w:after="40"/>
            </w:pPr>
            <w:r>
              <w:rPr>
                <w:sz w:val="18"/>
                <w:szCs w:val="18"/>
              </w:rPr>
              <w:t xml:space="preserve">Sign-flip p, perpetual benchmark</w:t>
            </w:r>
          </w:p>
        </w:tc>
        <w:tc>
          <w:tcPr>
            <w:tcW w:type="dxa" w:w="3373"/>
            <w:tcMar>
              <w:top w:type="dxa" w:w="60"/>
              <w:left w:type="dxa" w:w="90"/>
              <w:bottom w:type="dxa" w:w="60"/>
              <w:right w:type="dxa" w:w="90"/>
            </w:tcMar>
          </w:tcPr>
          <w:p>
            <w:pPr>
              <w:spacing w:after="40"/>
            </w:pPr>
            <w:r>
              <w:rPr>
                <w:sz w:val="18"/>
                <w:szCs w:val="18"/>
              </w:rPr>
              <w:t xml:space="preserve">0.6269 (Table 4.11, p. 57)</w:t>
            </w:r>
          </w:p>
        </w:tc>
        <w:tc>
          <w:tcPr>
            <w:tcW w:type="dxa" w:w="3373"/>
            <w:tcMar>
              <w:top w:type="dxa" w:w="60"/>
              <w:left w:type="dxa" w:w="90"/>
              <w:bottom w:type="dxa" w:w="60"/>
              <w:right w:type="dxa" w:w="90"/>
            </w:tcMar>
          </w:tcPr>
          <w:p>
            <w:pPr>
              <w:spacing w:after="40"/>
            </w:pPr>
            <w:r>
              <w:rPr>
                <w:sz w:val="18"/>
                <w:szCs w:val="18"/>
              </w:rPr>
              <w:t xml:space="preserve">0.6310 (Table 4.18, p. 71)</w:t>
            </w:r>
          </w:p>
        </w:tc>
      </w:tr>
      <w:tr>
        <w:tc>
          <w:tcPr>
            <w:tcW w:type="dxa" w:w="482"/>
            <w:tcMar>
              <w:top w:type="dxa" w:w="60"/>
              <w:left w:type="dxa" w:w="90"/>
              <w:bottom w:type="dxa" w:w="60"/>
              <w:right w:type="dxa" w:w="90"/>
            </w:tcMar>
          </w:tcPr>
          <w:p>
            <w:pPr>
              <w:spacing w:after="40"/>
            </w:pPr>
            <w:r>
              <w:rPr>
                <w:sz w:val="18"/>
                <w:szCs w:val="18"/>
              </w:rPr>
              <w:t xml:space="preserve">C6</w:t>
            </w:r>
          </w:p>
        </w:tc>
        <w:tc>
          <w:tcPr>
            <w:tcW w:type="dxa" w:w="2410"/>
            <w:tcMar>
              <w:top w:type="dxa" w:w="60"/>
              <w:left w:type="dxa" w:w="90"/>
              <w:bottom w:type="dxa" w:w="60"/>
              <w:right w:type="dxa" w:w="90"/>
            </w:tcMar>
          </w:tcPr>
          <w:p>
            <w:pPr>
              <w:spacing w:after="40"/>
            </w:pPr>
            <w:r>
              <w:rPr>
                <w:sz w:val="18"/>
                <w:szCs w:val="18"/>
              </w:rPr>
              <w:t xml:space="preserve">Sign-flip p, RO2 sensitivity tier</w:t>
            </w:r>
          </w:p>
        </w:tc>
        <w:tc>
          <w:tcPr>
            <w:tcW w:type="dxa" w:w="3373"/>
            <w:tcMar>
              <w:top w:type="dxa" w:w="60"/>
              <w:left w:type="dxa" w:w="90"/>
              <w:bottom w:type="dxa" w:w="60"/>
              <w:right w:type="dxa" w:w="90"/>
            </w:tcMar>
          </w:tcPr>
          <w:p>
            <w:pPr>
              <w:spacing w:after="40"/>
            </w:pPr>
            <w:r>
              <w:rPr>
                <w:sz w:val="18"/>
                <w:szCs w:val="18"/>
              </w:rPr>
              <w:t xml:space="preserve">0.3396 (Table 4.15, p. 63)</w:t>
            </w:r>
          </w:p>
        </w:tc>
        <w:tc>
          <w:tcPr>
            <w:tcW w:type="dxa" w:w="3373"/>
            <w:tcMar>
              <w:top w:type="dxa" w:w="60"/>
              <w:left w:type="dxa" w:w="90"/>
              <w:bottom w:type="dxa" w:w="60"/>
              <w:right w:type="dxa" w:w="90"/>
            </w:tcMar>
          </w:tcPr>
          <w:p>
            <w:pPr>
              <w:spacing w:after="40"/>
            </w:pPr>
            <w:r>
              <w:rPr>
                <w:sz w:val="18"/>
                <w:szCs w:val="18"/>
              </w:rPr>
              <w:t xml:space="preserve">0.4047 (Table 4.18, p. 71)</w:t>
            </w:r>
          </w:p>
        </w:tc>
      </w:tr>
      <w:tr>
        <w:tc>
          <w:tcPr>
            <w:tcW w:type="dxa" w:w="482"/>
            <w:tcMar>
              <w:top w:type="dxa" w:w="60"/>
              <w:left w:type="dxa" w:w="90"/>
              <w:bottom w:type="dxa" w:w="60"/>
              <w:right w:type="dxa" w:w="90"/>
            </w:tcMar>
          </w:tcPr>
          <w:p>
            <w:pPr>
              <w:spacing w:after="40"/>
            </w:pPr>
            <w:r>
              <w:rPr>
                <w:sz w:val="18"/>
                <w:szCs w:val="18"/>
              </w:rPr>
              <w:t xml:space="preserve">C7</w:t>
            </w:r>
          </w:p>
        </w:tc>
        <w:tc>
          <w:tcPr>
            <w:tcW w:type="dxa" w:w="2410"/>
            <w:tcMar>
              <w:top w:type="dxa" w:w="60"/>
              <w:left w:type="dxa" w:w="90"/>
              <w:bottom w:type="dxa" w:w="60"/>
              <w:right w:type="dxa" w:w="90"/>
            </w:tcMar>
          </w:tcPr>
          <w:p>
            <w:pPr>
              <w:spacing w:after="40"/>
            </w:pPr>
            <w:r>
              <w:rPr>
                <w:sz w:val="18"/>
                <w:szCs w:val="18"/>
              </w:rPr>
              <w:t xml:space="preserve">MDE, callable, final 17 pairs</w:t>
            </w:r>
          </w:p>
        </w:tc>
        <w:tc>
          <w:tcPr>
            <w:tcW w:type="dxa" w:w="3373"/>
            <w:tcMar>
              <w:top w:type="dxa" w:w="60"/>
              <w:left w:type="dxa" w:w="90"/>
              <w:bottom w:type="dxa" w:w="60"/>
              <w:right w:type="dxa" w:w="90"/>
            </w:tcMar>
          </w:tcPr>
          <w:p>
            <w:pPr>
              <w:spacing w:after="40"/>
            </w:pPr>
            <w:r>
              <w:rPr>
                <w:sz w:val="18"/>
                <w:szCs w:val="18"/>
              </w:rPr>
              <w:t xml:space="preserve">91.1 bp (Table 4.1, p. 35; §4.3, p. 31)</w:t>
            </w:r>
          </w:p>
        </w:tc>
        <w:tc>
          <w:tcPr>
            <w:tcW w:type="dxa" w:w="3373"/>
            <w:tcMar>
              <w:top w:type="dxa" w:w="60"/>
              <w:left w:type="dxa" w:w="90"/>
              <w:bottom w:type="dxa" w:w="60"/>
              <w:right w:type="dxa" w:w="90"/>
            </w:tcMar>
          </w:tcPr>
          <w:p>
            <w:pPr>
              <w:spacing w:after="40"/>
            </w:pPr>
            <w:r>
              <w:rPr>
                <w:sz w:val="18"/>
                <w:szCs w:val="18"/>
              </w:rPr>
              <w:t xml:space="preserve">“roughly ninety-four” (§5.2, p. 76)</w:t>
            </w:r>
          </w:p>
        </w:tc>
      </w:tr>
      <w:tr>
        <w:tc>
          <w:tcPr>
            <w:tcW w:type="dxa" w:w="482"/>
            <w:tcMar>
              <w:top w:type="dxa" w:w="60"/>
              <w:left w:type="dxa" w:w="90"/>
              <w:bottom w:type="dxa" w:w="60"/>
              <w:right w:type="dxa" w:w="90"/>
            </w:tcMar>
          </w:tcPr>
          <w:p>
            <w:pPr>
              <w:spacing w:after="40"/>
            </w:pPr>
            <w:r>
              <w:rPr>
                <w:sz w:val="18"/>
                <w:szCs w:val="18"/>
              </w:rPr>
              <w:t xml:space="preserve">C8</w:t>
            </w:r>
          </w:p>
        </w:tc>
        <w:tc>
          <w:tcPr>
            <w:tcW w:type="dxa" w:w="2410"/>
            <w:tcMar>
              <w:top w:type="dxa" w:w="60"/>
              <w:left w:type="dxa" w:w="90"/>
              <w:bottom w:type="dxa" w:w="60"/>
              <w:right w:type="dxa" w:w="90"/>
            </w:tcMar>
          </w:tcPr>
          <w:p>
            <w:pPr>
              <w:spacing w:after="40"/>
            </w:pPr>
            <w:r>
              <w:rPr>
                <w:sz w:val="18"/>
                <w:szCs w:val="18"/>
              </w:rPr>
              <w:t xml:space="preserve">MDE, callable, benchmark</w:t>
            </w:r>
          </w:p>
        </w:tc>
        <w:tc>
          <w:tcPr>
            <w:tcW w:type="dxa" w:w="3373"/>
            <w:tcMar>
              <w:top w:type="dxa" w:w="60"/>
              <w:left w:type="dxa" w:w="90"/>
              <w:bottom w:type="dxa" w:w="60"/>
              <w:right w:type="dxa" w:w="90"/>
            </w:tcMar>
          </w:tcPr>
          <w:p>
            <w:pPr>
              <w:spacing w:after="40"/>
            </w:pPr>
            <w:r>
              <w:rPr>
                <w:sz w:val="18"/>
                <w:szCs w:val="18"/>
              </w:rPr>
              <w:t xml:space="preserve">66.6 bp (§3.9, p. 17)</w:t>
            </w:r>
          </w:p>
        </w:tc>
        <w:tc>
          <w:tcPr>
            <w:tcW w:type="dxa" w:w="3373"/>
            <w:tcMar>
              <w:top w:type="dxa" w:w="60"/>
              <w:left w:type="dxa" w:w="90"/>
              <w:bottom w:type="dxa" w:w="60"/>
              <w:right w:type="dxa" w:w="90"/>
            </w:tcMar>
          </w:tcPr>
          <w:p>
            <w:pPr>
              <w:spacing w:after="40"/>
            </w:pPr>
            <w:r>
              <w:rPr>
                <w:sz w:val="18"/>
                <w:szCs w:val="18"/>
              </w:rPr>
              <w:t xml:space="preserve">“roughly fifty-eight” (§5.2, p. 76); the two figures come from different panels, and neither is named</w:t>
            </w:r>
          </w:p>
        </w:tc>
      </w:tr>
      <w:tr>
        <w:tc>
          <w:tcPr>
            <w:tcW w:type="dxa" w:w="482"/>
            <w:tcMar>
              <w:top w:type="dxa" w:w="60"/>
              <w:left w:type="dxa" w:w="90"/>
              <w:bottom w:type="dxa" w:w="60"/>
              <w:right w:type="dxa" w:w="90"/>
            </w:tcMar>
          </w:tcPr>
          <w:p>
            <w:pPr>
              <w:spacing w:after="40"/>
            </w:pPr>
            <w:r>
              <w:rPr>
                <w:sz w:val="18"/>
                <w:szCs w:val="18"/>
              </w:rPr>
              <w:t xml:space="preserve">C9</w:t>
            </w:r>
          </w:p>
        </w:tc>
        <w:tc>
          <w:tcPr>
            <w:tcW w:type="dxa" w:w="2410"/>
            <w:tcMar>
              <w:top w:type="dxa" w:w="60"/>
              <w:left w:type="dxa" w:w="90"/>
              <w:bottom w:type="dxa" w:w="60"/>
              <w:right w:type="dxa" w:w="90"/>
            </w:tcMar>
          </w:tcPr>
          <w:p>
            <w:pPr>
              <w:spacing w:after="40"/>
            </w:pPr>
            <w:r>
              <w:rPr>
                <w:sz w:val="18"/>
                <w:szCs w:val="18"/>
              </w:rPr>
              <w:t xml:space="preserve">Randomisation procedure</w:t>
            </w:r>
          </w:p>
        </w:tc>
        <w:tc>
          <w:tcPr>
            <w:tcW w:type="dxa" w:w="3373"/>
            <w:tcMar>
              <w:top w:type="dxa" w:w="60"/>
              <w:left w:type="dxa" w:w="90"/>
              <w:bottom w:type="dxa" w:w="60"/>
              <w:right w:type="dxa" w:w="90"/>
            </w:tcMar>
          </w:tcPr>
          <w:p>
            <w:pPr>
              <w:spacing w:after="40"/>
            </w:pPr>
            <w:r>
              <w:rPr>
                <w:sz w:val="18"/>
                <w:szCs w:val="18"/>
              </w:rPr>
              <w:t xml:space="preserve">“exact unless G &gt; 26”; 1,000,000 draws (§4.6, p. 35)</w:t>
            </w:r>
          </w:p>
        </w:tc>
        <w:tc>
          <w:tcPr>
            <w:tcW w:type="dxa" w:w="3373"/>
            <w:tcMar>
              <w:top w:type="dxa" w:w="60"/>
              <w:left w:type="dxa" w:w="90"/>
              <w:bottom w:type="dxa" w:w="60"/>
              <w:right w:type="dxa" w:w="90"/>
            </w:tcMar>
          </w:tcPr>
          <w:p>
            <w:pPr>
              <w:spacing w:after="40"/>
            </w:pPr>
            <w:r>
              <w:rPr>
                <w:sz w:val="18"/>
                <w:szCs w:val="18"/>
              </w:rPr>
              <w:t xml:space="preserve">Table 4.2 caption: all rows exact except pooled, yet labelled G = 30 (p. 36); 999,999 draws (§3.8, p. 16)</w:t>
            </w:r>
          </w:p>
        </w:tc>
      </w:tr>
      <w:tr>
        <w:tc>
          <w:tcPr>
            <w:tcW w:type="dxa" w:w="482"/>
            <w:tcMar>
              <w:top w:type="dxa" w:w="60"/>
              <w:left w:type="dxa" w:w="90"/>
              <w:bottom w:type="dxa" w:w="60"/>
              <w:right w:type="dxa" w:w="90"/>
            </w:tcMar>
          </w:tcPr>
          <w:p>
            <w:pPr>
              <w:spacing w:after="40"/>
            </w:pPr>
            <w:r>
              <w:rPr>
                <w:sz w:val="18"/>
                <w:szCs w:val="18"/>
              </w:rPr>
              <w:t xml:space="preserve">C10</w:t>
            </w:r>
          </w:p>
        </w:tc>
        <w:tc>
          <w:tcPr>
            <w:tcW w:type="dxa" w:w="2410"/>
            <w:tcMar>
              <w:top w:type="dxa" w:w="60"/>
              <w:left w:type="dxa" w:w="90"/>
              <w:bottom w:type="dxa" w:w="60"/>
              <w:right w:type="dxa" w:w="90"/>
            </w:tcMar>
          </w:tcPr>
          <w:p>
            <w:pPr>
              <w:spacing w:after="40"/>
            </w:pPr>
            <w:r>
              <w:rPr>
                <w:sz w:val="18"/>
                <w:szCs w:val="18"/>
              </w:rPr>
              <w:t xml:space="preserve">Issuer components, RO1 benchmark</w:t>
            </w:r>
          </w:p>
        </w:tc>
        <w:tc>
          <w:tcPr>
            <w:tcW w:type="dxa" w:w="3373"/>
            <w:tcMar>
              <w:top w:type="dxa" w:w="60"/>
              <w:left w:type="dxa" w:w="90"/>
              <w:bottom w:type="dxa" w:w="60"/>
              <w:right w:type="dxa" w:w="90"/>
            </w:tcMar>
          </w:tcPr>
          <w:p>
            <w:pPr>
              <w:spacing w:after="40"/>
            </w:pPr>
            <w:r>
              <w:rPr>
                <w:sz w:val="18"/>
                <w:szCs w:val="18"/>
              </w:rPr>
              <w:t xml:space="preserve">31 pairs → 16 components (§3.8, p. 16)</w:t>
            </w:r>
          </w:p>
        </w:tc>
        <w:tc>
          <w:tcPr>
            <w:tcW w:type="dxa" w:w="3373"/>
            <w:tcMar>
              <w:top w:type="dxa" w:w="60"/>
              <w:left w:type="dxa" w:w="90"/>
              <w:bottom w:type="dxa" w:w="60"/>
              <w:right w:type="dxa" w:w="90"/>
            </w:tcMar>
          </w:tcPr>
          <w:p>
            <w:pPr>
              <w:spacing w:after="40"/>
            </w:pPr>
            <w:r>
              <w:rPr>
                <w:sz w:val="18"/>
                <w:szCs w:val="18"/>
              </w:rPr>
              <w:t xml:space="preserve">27 pairs → 17 components (Table 4.1, p. 35); explained only in a caption on p. 67</w:t>
            </w:r>
          </w:p>
        </w:tc>
      </w:tr>
      <w:tr>
        <w:tc>
          <w:tcPr>
            <w:tcW w:type="dxa" w:w="482"/>
            <w:tcMar>
              <w:top w:type="dxa" w:w="60"/>
              <w:left w:type="dxa" w:w="90"/>
              <w:bottom w:type="dxa" w:w="60"/>
              <w:right w:type="dxa" w:w="90"/>
            </w:tcMar>
          </w:tcPr>
          <w:p>
            <w:pPr>
              <w:spacing w:after="40"/>
            </w:pPr>
            <w:r>
              <w:rPr>
                <w:sz w:val="18"/>
                <w:szCs w:val="18"/>
              </w:rPr>
              <w:t xml:space="preserve">C11</w:t>
            </w:r>
          </w:p>
        </w:tc>
        <w:tc>
          <w:tcPr>
            <w:tcW w:type="dxa" w:w="2410"/>
            <w:tcMar>
              <w:top w:type="dxa" w:w="60"/>
              <w:left w:type="dxa" w:w="90"/>
              <w:bottom w:type="dxa" w:w="60"/>
              <w:right w:type="dxa" w:w="90"/>
            </w:tcMar>
          </w:tcPr>
          <w:p>
            <w:pPr>
              <w:spacing w:after="40"/>
            </w:pPr>
            <w:r>
              <w:rPr>
                <w:sz w:val="18"/>
                <w:szCs w:val="18"/>
              </w:rPr>
              <w:t xml:space="preserve">Post-issuance-report group, label estimate</w:t>
            </w:r>
          </w:p>
        </w:tc>
        <w:tc>
          <w:tcPr>
            <w:tcW w:type="dxa" w:w="3373"/>
            <w:tcMar>
              <w:top w:type="dxa" w:w="60"/>
              <w:left w:type="dxa" w:w="90"/>
              <w:bottom w:type="dxa" w:w="60"/>
              <w:right w:type="dxa" w:w="90"/>
            </w:tcMar>
          </w:tcPr>
          <w:p>
            <w:pPr>
              <w:spacing w:after="40"/>
            </w:pPr>
            <w:r>
              <w:rPr>
                <w:sz w:val="18"/>
                <w:szCs w:val="18"/>
              </w:rPr>
              <w:t xml:space="preserve">−8.3 bp, 3 families (§4.7, p. 41)</w:t>
            </w:r>
          </w:p>
        </w:tc>
        <w:tc>
          <w:tcPr>
            <w:tcW w:type="dxa" w:w="3373"/>
            <w:tcMar>
              <w:top w:type="dxa" w:w="60"/>
              <w:left w:type="dxa" w:w="90"/>
              <w:bottom w:type="dxa" w:w="60"/>
              <w:right w:type="dxa" w:w="90"/>
            </w:tcMar>
          </w:tcPr>
          <w:p>
            <w:pPr>
              <w:spacing w:after="40"/>
            </w:pPr>
            <w:r>
              <w:rPr>
                <w:sz w:val="18"/>
                <w:szCs w:val="18"/>
              </w:rPr>
              <w:t xml:space="preserve">−6.64 bp, 3 families (Table 4.4, p. 41)</w:t>
            </w:r>
          </w:p>
        </w:tc>
      </w:tr>
      <w:tr>
        <w:tc>
          <w:tcPr>
            <w:tcW w:type="dxa" w:w="482"/>
            <w:tcMar>
              <w:top w:type="dxa" w:w="60"/>
              <w:left w:type="dxa" w:w="90"/>
              <w:bottom w:type="dxa" w:w="60"/>
              <w:right w:type="dxa" w:w="90"/>
            </w:tcMar>
          </w:tcPr>
          <w:p>
            <w:pPr>
              <w:spacing w:after="40"/>
            </w:pPr>
            <w:r>
              <w:rPr>
                <w:sz w:val="18"/>
                <w:szCs w:val="18"/>
              </w:rPr>
              <w:t xml:space="preserve">C12</w:t>
            </w:r>
          </w:p>
        </w:tc>
        <w:tc>
          <w:tcPr>
            <w:tcW w:type="dxa" w:w="2410"/>
            <w:tcMar>
              <w:top w:type="dxa" w:w="60"/>
              <w:left w:type="dxa" w:w="90"/>
              <w:bottom w:type="dxa" w:w="60"/>
              <w:right w:type="dxa" w:w="90"/>
            </w:tcMar>
          </w:tcPr>
          <w:p>
            <w:pPr>
              <w:spacing w:after="40"/>
            </w:pPr>
            <w:r>
              <w:rPr>
                <w:sz w:val="18"/>
                <w:szCs w:val="18"/>
              </w:rPr>
              <w:t xml:space="preserve">Re-solve effect on H1b</w:t>
            </w:r>
          </w:p>
        </w:tc>
        <w:tc>
          <w:tcPr>
            <w:tcW w:type="dxa" w:w="3373"/>
            <w:tcMar>
              <w:top w:type="dxa" w:w="60"/>
              <w:left w:type="dxa" w:w="90"/>
              <w:bottom w:type="dxa" w:w="60"/>
              <w:right w:type="dxa" w:w="90"/>
            </w:tcMar>
          </w:tcPr>
          <w:p>
            <w:pPr>
              <w:spacing w:after="40"/>
            </w:pPr>
            <w:r>
              <w:rPr>
                <w:sz w:val="18"/>
                <w:szCs w:val="18"/>
              </w:rPr>
              <w:t xml:space="preserve">“about twenty basis points” (§5.9, p. 90)</w:t>
            </w:r>
          </w:p>
        </w:tc>
        <w:tc>
          <w:tcPr>
            <w:tcW w:type="dxa" w:w="3373"/>
            <w:tcMar>
              <w:top w:type="dxa" w:w="60"/>
              <w:left w:type="dxa" w:w="90"/>
              <w:bottom w:type="dxa" w:w="60"/>
              <w:right w:type="dxa" w:w="90"/>
            </w:tcMar>
          </w:tcPr>
          <w:p>
            <w:pPr>
              <w:spacing w:after="40"/>
            </w:pPr>
            <w:r>
              <w:rPr>
                <w:sz w:val="18"/>
                <w:szCs w:val="18"/>
              </w:rPr>
              <w:t xml:space="preserve">119.67 − 103.84 = 15.8 bp (§4.6, p. 38)</w:t>
            </w:r>
          </w:p>
        </w:tc>
      </w:tr>
      <w:tr>
        <w:tc>
          <w:tcPr>
            <w:tcW w:type="dxa" w:w="482"/>
            <w:tcMar>
              <w:top w:type="dxa" w:w="60"/>
              <w:left w:type="dxa" w:w="90"/>
              <w:bottom w:type="dxa" w:w="60"/>
              <w:right w:type="dxa" w:w="90"/>
            </w:tcMar>
          </w:tcPr>
          <w:p>
            <w:pPr>
              <w:spacing w:after="40"/>
            </w:pPr>
            <w:r>
              <w:rPr>
                <w:sz w:val="18"/>
                <w:szCs w:val="18"/>
              </w:rPr>
              <w:t xml:space="preserve">C13</w:t>
            </w:r>
          </w:p>
        </w:tc>
        <w:tc>
          <w:tcPr>
            <w:tcW w:type="dxa" w:w="2410"/>
            <w:tcMar>
              <w:top w:type="dxa" w:w="60"/>
              <w:left w:type="dxa" w:w="90"/>
              <w:bottom w:type="dxa" w:w="60"/>
              <w:right w:type="dxa" w:w="90"/>
            </w:tcMar>
          </w:tcPr>
          <w:p>
            <w:pPr>
              <w:spacing w:after="40"/>
            </w:pPr>
            <w:r>
              <w:rPr>
                <w:sz w:val="18"/>
                <w:szCs w:val="18"/>
              </w:rPr>
              <w:t xml:space="preserve">Number of pairs in the re-solve</w:t>
            </w:r>
          </w:p>
        </w:tc>
        <w:tc>
          <w:tcPr>
            <w:tcW w:type="dxa" w:w="3373"/>
            <w:tcMar>
              <w:top w:type="dxa" w:w="60"/>
              <w:left w:type="dxa" w:w="90"/>
              <w:bottom w:type="dxa" w:w="60"/>
              <w:right w:type="dxa" w:w="90"/>
            </w:tcMar>
          </w:tcPr>
          <w:p>
            <w:pPr>
              <w:spacing w:after="40"/>
            </w:pPr>
            <w:r>
              <w:rPr>
                <w:sz w:val="18"/>
                <w:szCs w:val="18"/>
              </w:rPr>
              <w:t xml:space="preserve">72 pairs in total (§3.16, p. 27)</w:t>
            </w:r>
          </w:p>
        </w:tc>
        <w:tc>
          <w:tcPr>
            <w:tcW w:type="dxa" w:w="3373"/>
            <w:tcMar>
              <w:top w:type="dxa" w:w="60"/>
              <w:left w:type="dxa" w:w="90"/>
              <w:bottom w:type="dxa" w:w="60"/>
              <w:right w:type="dxa" w:w="90"/>
            </w:tcMar>
          </w:tcPr>
          <w:p>
            <w:pPr>
              <w:spacing w:after="40"/>
            </w:pPr>
            <w:r>
              <w:rPr>
                <w:sz w:val="18"/>
                <w:szCs w:val="18"/>
              </w:rPr>
              <w:t xml:space="preserve">“41 of sixty-seven assignments” (§4.6, p. 38)</w:t>
            </w:r>
          </w:p>
        </w:tc>
      </w:tr>
      <w:tr>
        <w:tc>
          <w:tcPr>
            <w:tcW w:type="dxa" w:w="482"/>
            <w:tcMar>
              <w:top w:type="dxa" w:w="60"/>
              <w:left w:type="dxa" w:w="90"/>
              <w:bottom w:type="dxa" w:w="60"/>
              <w:right w:type="dxa" w:w="90"/>
            </w:tcMar>
          </w:tcPr>
          <w:p>
            <w:pPr>
              <w:spacing w:after="40"/>
            </w:pPr>
            <w:r>
              <w:rPr>
                <w:sz w:val="18"/>
                <w:szCs w:val="18"/>
              </w:rPr>
              <w:t xml:space="preserve">C14</w:t>
            </w:r>
          </w:p>
        </w:tc>
        <w:tc>
          <w:tcPr>
            <w:tcW w:type="dxa" w:w="2410"/>
            <w:tcMar>
              <w:top w:type="dxa" w:w="60"/>
              <w:left w:type="dxa" w:w="90"/>
              <w:bottom w:type="dxa" w:w="60"/>
              <w:right w:type="dxa" w:w="90"/>
            </w:tcMar>
          </w:tcPr>
          <w:p>
            <w:pPr>
              <w:spacing w:after="40"/>
            </w:pPr>
            <w:r>
              <w:rPr>
                <w:sz w:val="18"/>
                <w:szCs w:val="18"/>
              </w:rPr>
              <w:t xml:space="preserve">Callable sample described in the discussion</w:t>
            </w:r>
          </w:p>
        </w:tc>
        <w:tc>
          <w:tcPr>
            <w:tcW w:type="dxa" w:w="3373"/>
            <w:tcMar>
              <w:top w:type="dxa" w:w="60"/>
              <w:left w:type="dxa" w:w="90"/>
              <w:bottom w:type="dxa" w:w="60"/>
              <w:right w:type="dxa" w:w="90"/>
            </w:tcMar>
          </w:tcPr>
          <w:p>
            <w:pPr>
              <w:spacing w:after="40"/>
            </w:pPr>
            <w:r>
              <w:rPr>
                <w:sz w:val="18"/>
                <w:szCs w:val="18"/>
              </w:rPr>
              <w:t xml:space="preserve">17 pairs, +39.28 bp (§5.2, p. 73)</w:t>
            </w:r>
          </w:p>
        </w:tc>
        <w:tc>
          <w:tcPr>
            <w:tcW w:type="dxa" w:w="3373"/>
            <w:tcMar>
              <w:top w:type="dxa" w:w="60"/>
              <w:left w:type="dxa" w:w="90"/>
              <w:bottom w:type="dxa" w:w="60"/>
              <w:right w:type="dxa" w:w="90"/>
            </w:tcMar>
          </w:tcPr>
          <w:p>
            <w:pPr>
              <w:spacing w:after="40"/>
            </w:pPr>
            <w:r>
              <w:rPr>
                <w:sz w:val="18"/>
                <w:szCs w:val="18"/>
              </w:rPr>
              <w:t xml:space="preserve">Next paragraph: “fifteen matched pairs … ten of the fifteen negative” (§5.2, p. 74), which is the superseded panel</w:t>
            </w:r>
          </w:p>
        </w:tc>
      </w:tr>
      <w:tr>
        <w:tc>
          <w:tcPr>
            <w:tcW w:type="dxa" w:w="482"/>
            <w:tcMar>
              <w:top w:type="dxa" w:w="60"/>
              <w:left w:type="dxa" w:w="90"/>
              <w:bottom w:type="dxa" w:w="60"/>
              <w:right w:type="dxa" w:w="90"/>
            </w:tcMar>
          </w:tcPr>
          <w:p>
            <w:pPr>
              <w:spacing w:after="40"/>
            </w:pPr>
            <w:r>
              <w:rPr>
                <w:sz w:val="18"/>
                <w:szCs w:val="18"/>
              </w:rPr>
              <w:t xml:space="preserve">C15</w:t>
            </w:r>
          </w:p>
        </w:tc>
        <w:tc>
          <w:tcPr>
            <w:tcW w:type="dxa" w:w="2410"/>
            <w:tcMar>
              <w:top w:type="dxa" w:w="60"/>
              <w:left w:type="dxa" w:w="90"/>
              <w:bottom w:type="dxa" w:w="60"/>
              <w:right w:type="dxa" w:w="90"/>
            </w:tcMar>
          </w:tcPr>
          <w:p>
            <w:pPr>
              <w:spacing w:after="40"/>
            </w:pPr>
            <w:r>
              <w:rPr>
                <w:sz w:val="18"/>
                <w:szCs w:val="18"/>
              </w:rPr>
              <w:t xml:space="preserve">Labelled result described in the discussion</w:t>
            </w:r>
          </w:p>
        </w:tc>
        <w:tc>
          <w:tcPr>
            <w:tcW w:type="dxa" w:w="3373"/>
            <w:tcMar>
              <w:top w:type="dxa" w:w="60"/>
              <w:left w:type="dxa" w:w="90"/>
              <w:bottom w:type="dxa" w:w="60"/>
              <w:right w:type="dxa" w:w="90"/>
            </w:tcMar>
          </w:tcPr>
          <w:p>
            <w:pPr>
              <w:spacing w:after="40"/>
            </w:pPr>
            <w:r>
              <w:rPr>
                <w:sz w:val="18"/>
                <w:szCs w:val="18"/>
              </w:rPr>
              <w:t xml:space="preserve">Window −16.4 bp, raw p = 0.017 (§5.4, p. 80)</w:t>
            </w:r>
          </w:p>
        </w:tc>
        <w:tc>
          <w:tcPr>
            <w:tcW w:type="dxa" w:w="3373"/>
            <w:tcMar>
              <w:top w:type="dxa" w:w="60"/>
              <w:left w:type="dxa" w:w="90"/>
              <w:bottom w:type="dxa" w:w="60"/>
              <w:right w:type="dxa" w:w="90"/>
            </w:tcMar>
          </w:tcPr>
          <w:p>
            <w:pPr>
              <w:spacing w:after="40"/>
            </w:pPr>
            <w:r>
              <w:rPr>
                <w:sz w:val="18"/>
                <w:szCs w:val="18"/>
              </w:rPr>
              <w:t xml:space="preserve">“a seventeen-pair sample” (p. 82); “against the null obtained here” (p. 83); “consistently but insignificantly negative” (§5.6, p. 87). All are benchmark-era statements.</w:t>
            </w:r>
          </w:p>
        </w:tc>
      </w:tr>
    </w:tbl>
    <w:p>
      <w:pPr>
        <w:spacing w:after="60"/>
      </w:pPr>
    </w:p>
    <w:p>
      <w:pPr>
        <w:spacing w:after="120" w:line="276"/>
      </w:pPr>
      <w:r>
        <w:rPr>
          <w:b/>
          <w:bCs/>
        </w:rPr>
        <w:t xml:space="preserve">Root cause.</w:t>
      </w:r>
      <w:r>
        <w:t xml:space="preserve"> Three different readings of the same benchmark sample coexist, with no stable names: the panel as first assembled; the panel after the measurement rules; and the “benchmark column”. Fix this at the source. Keep </w:t>
      </w:r>
      <w:r>
        <w:rPr>
          <w:b/>
          <w:bCs/>
        </w:rPr>
        <w:t xml:space="preserve">one</w:t>
      </w:r>
      <w:r>
        <w:t xml:space="preserve"> current panel in the main text, give the superseded panel a single name, and move it to an appendix.</w:t>
      </w:r>
    </w:p>
    <w:p>
      <w:pPr>
        <w:pStyle w:val="Heading2"/>
        <w:spacing w:after="120" w:before="240"/>
      </w:pPr>
      <w:r>
        <w:t xml:space="preserve">4.3 (c) Presentation and clarity: from bookkeeping to analysis</w:t>
      </w:r>
    </w:p>
    <w:p>
      <w:pPr>
        <w:spacing w:after="120" w:line="276"/>
      </w:pPr>
      <w:r>
        <w:t xml:space="preserve">The main reason the chapters read as bookkeeping is paragraph structure. Most results paragraphs open with a sample count and a p-value, pass through provenance, and end with a cross-reference. They seldom state what the number means. Compare the opening of §4.4 (p. 32):</w:t>
      </w:r>
    </w:p>
    <w:p>
      <w:pPr>
        <w:pBdr>
          <w:left w:val="single" w:color="8EA9C1" w:sz="12" w:space="8"/>
        </w:pBdr>
        <w:spacing w:after="120" w:line="264"/>
        <w:ind w:left="567" w:right="567"/>
      </w:pPr>
      <w:r>
        <w:rPr>
          <w:i/>
          <w:iCs/>
          <w:color w:val="404040"/>
        </w:rPr>
        <w:t xml:space="preserve">“The perpetual comparison produces the study’s positive confirmatory result. Twenty-five matched pairs give an equal-pair mean of plus 103.84 basis points with an exact sign-flip p of 0.0117. Every primary pair-level procedure agrees before multiplicity adjustment: the one-sample t gives 0.0152, the exact sign test 0.0433 …”</w:t>
      </w:r>
    </w:p>
    <w:p>
      <w:pPr>
        <w:spacing w:after="120" w:line="276"/>
      </w:pPr>
      <w:r>
        <w:t xml:space="preserve">with an analytical version of the same content:</w:t>
      </w:r>
    </w:p>
    <w:p>
      <w:pPr>
        <w:pBdr>
          <w:left w:val="single" w:color="8EA9C1" w:sz="12" w:space="8"/>
        </w:pBdr>
        <w:spacing w:after="120" w:line="264"/>
        <w:ind w:left="567" w:right="567"/>
      </w:pPr>
      <w:r>
        <w:rPr>
          <w:i/>
          <w:iCs/>
          <w:color w:val="404040"/>
        </w:rPr>
        <w:t xml:space="preserve">“AT1 sukuk trade at evaluated yields about 100 bp above matched senior sukuk (103.8 bp across 25 pairs; sign-flip p = 0.012; Table 4.1). The differential is positive in 18 of the 25 pairs and is matched by the within-bank estimate, which holds the obligor fixed (95–106 bp; Table 4.4). Its size is close to the 84 bp call premium Oster (2020) reports for unrated Tier 2 CoCos. An AT1 sukuk, however, bundles subordination, coupon discretion and loss absorption, so the figure prices the AT1 package, not the call. Two facts limit how far it generalises. It is concentrated in pairs from weaker, unrated banks (+240 bp, against +27 bp for the original pairs). And on the pre-specified window it does not survive Holm adjustment (0.0506).”</w:t>
      </w:r>
    </w:p>
    <w:p>
      <w:pPr>
        <w:spacing w:after="120" w:line="276"/>
      </w:pPr>
      <w:r>
        <w:t xml:space="preserve">Use this pattern for every results paragraph: </w:t>
      </w:r>
      <w:r>
        <w:rPr>
          <w:b/>
          <w:bCs/>
        </w:rPr>
        <w:t xml:space="preserve">claim → evidence (with table reference) → meaning → link to theory or literature → limit</w:t>
      </w:r>
      <w:r>
        <w:t xml:space="preserve">. Other specific presentation problems:</w:t>
      </w:r>
    </w:p>
    <w:p>
      <w:pPr>
        <w:pStyle w:val="ListParagraph"/>
        <w:numPr>
          <w:ilvl w:val="0"/>
          <w:numId w:val="2"/>
        </w:numPr>
        <w:spacing w:after="80" w:line="264"/>
      </w:pPr>
      <w:r>
        <w:rPr>
          <w:b/>
          <w:bCs/>
        </w:rPr>
        <w:t xml:space="preserve">[Major] Chapter 3 reports results.</w:t>
      </w:r>
      <w:r>
        <w:t xml:space="preserve"> Examples: MDEs and the enlarged-sample significance (§3.9, p. 17); Holm-adjusted outcomes (§3.10, p. 18); Indonesian pair counts (§3.13, p. 22); sample outcomes (§3.16, pp. 27–28). Methods chapters should state plans and rules, not outcomes.</w:t>
      </w:r>
    </w:p>
    <w:p>
      <w:pPr>
        <w:pStyle w:val="ListParagraph"/>
        <w:numPr>
          <w:ilvl w:val="0"/>
          <w:numId w:val="2"/>
        </w:numPr>
        <w:spacing w:after="80" w:line="264"/>
      </w:pPr>
      <w:r>
        <w:rPr>
          <w:b/>
          <w:bCs/>
        </w:rPr>
        <w:t xml:space="preserve">[Major] Chapter 4 is organised by data vintage.</w:t>
      </w:r>
      <w:r>
        <w:t xml:space="preserve"> §4.12 (pp. 51–72) re-reports the superseded sample across nine subsections and eight tables. Keep one compact benchmark-vs-final comparison table and move the rest to an appendix.</w:t>
      </w:r>
    </w:p>
    <w:p>
      <w:pPr>
        <w:pStyle w:val="ListParagraph"/>
        <w:numPr>
          <w:ilvl w:val="0"/>
          <w:numId w:val="2"/>
        </w:numPr>
        <w:spacing w:after="80" w:line="264"/>
      </w:pPr>
      <w:r>
        <w:rPr>
          <w:b/>
          <w:bCs/>
        </w:rPr>
        <w:t xml:space="preserve">[Major] There are no figures for the final sample.</w:t>
      </w:r>
      <w:r>
        <w:t xml:space="preserve"> Figures 4.1–4.3 (pp. 56, 58, 65) all show the superseded benchmark panel. Add: (i) a dot-and-interval plot of the 72 pair means by class; (ii) the monthly cross-pair mean differential by class through time, marking March 2023; (iii) the within-bank vs matched-pair estimates side by side.</w:t>
      </w:r>
    </w:p>
    <w:p>
      <w:pPr>
        <w:pStyle w:val="ListParagraph"/>
        <w:numPr>
          <w:ilvl w:val="0"/>
          <w:numId w:val="2"/>
        </w:numPr>
        <w:spacing w:after="80" w:line="264"/>
      </w:pPr>
      <w:r>
        <w:rPr>
          <w:b/>
          <w:bCs/>
        </w:rPr>
        <w:t xml:space="preserve">[Minor] Tables duplicate and are out of order.</w:t>
      </w:r>
      <w:r>
        <w:t xml:space="preserve"> Table 4.2 (p. 36) repeats Table 4.1 (p. 35). Table 4.8 (decisions, p. 50) precedes Table 4.9 (benchmark balance, p. 52).</w:t>
      </w:r>
    </w:p>
    <w:p>
      <w:pPr>
        <w:pStyle w:val="ListParagraph"/>
        <w:numPr>
          <w:ilvl w:val="0"/>
          <w:numId w:val="2"/>
        </w:numPr>
        <w:spacing w:after="80" w:line="264"/>
      </w:pPr>
      <w:r>
        <w:rPr>
          <w:b/>
          <w:bCs/>
        </w:rPr>
        <w:t xml:space="preserve">[Minor] The precision is false.</w:t>
      </w:r>
      <w:r>
        <w:t xml:space="preserve"> Examples: “18.495 basis points” (p. 68); “0.401941” (p. 59); three-decimal basis points throughout §4.12. One decimal is sufficient.</w:t>
      </w:r>
    </w:p>
    <w:p>
      <w:pPr>
        <w:pStyle w:val="ListParagraph"/>
        <w:numPr>
          <w:ilvl w:val="0"/>
          <w:numId w:val="2"/>
        </w:numPr>
        <w:spacing w:after="80" w:line="264"/>
      </w:pPr>
      <w:r>
        <w:rPr>
          <w:b/>
          <w:bCs/>
        </w:rPr>
        <w:t xml:space="preserve">[Minor] Terminology is inconsistent.</w:t>
      </w:r>
      <w:r>
        <w:t xml:space="preserve"> “Puttable” and “putable” are both used. “Final”, “full horizon” and “extended” are used interchangeably. “Rule C” is used on p. 33 and in Table 4.8 (p. 50) but never defined under that name in §3.7. Five pair-code schemes appear (C, P, RO2P, R20xx, G002).</w:t>
      </w:r>
    </w:p>
    <w:p>
      <w:pPr>
        <w:pStyle w:val="ListParagraph"/>
        <w:numPr>
          <w:ilvl w:val="0"/>
          <w:numId w:val="2"/>
        </w:numPr>
        <w:spacing w:after="80" w:line="264"/>
      </w:pPr>
      <w:r>
        <w:rPr>
          <w:b/>
          <w:bCs/>
        </w:rPr>
        <w:t xml:space="preserve">[Minor] Typos:</w:t>
      </w:r>
      <w:r>
        <w:t xml:space="preserve"> “sample.The” (§5.12, p. 93); “instrujment” (Appendix D.4 table, pp. 111–112).</w:t>
      </w:r>
    </w:p>
    <w:p>
      <w:pPr>
        <w:pStyle w:val="Heading2"/>
        <w:spacing w:after="120" w:before="240"/>
      </w:pPr>
      <w:r>
        <w:t xml:space="preserve">4.4 (d) Cross-references to tables, figures and sections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891"/>
        <w:gridCol w:w="2891"/>
        <w:gridCol w:w="2314"/>
      </w:tblGrid>
      <w:tr>
        <w:trPr>
          <w:tblHeader/>
        </w:trPr>
        <w:tc>
          <w:tcPr>
            <w:tcW w:type="dxa" w:w="1542"/>
            <w:shd w:fill="1F3864" w:color="auto" w:val="clear"/>
            <w:tcMar>
              <w:top w:type="dxa" w:w="60"/>
              <w:left w:type="dxa" w:w="90"/>
              <w:bottom w:type="dxa" w:w="60"/>
              <w:right w:type="dxa" w:w="90"/>
            </w:tcMar>
          </w:tcPr>
          <w:p>
            <w:pPr>
              <w:spacing w:after="40"/>
            </w:pPr>
            <w:r>
              <w:rPr>
                <w:b/>
                <w:bCs/>
                <w:color w:val="FFFFFF"/>
                <w:sz w:val="18"/>
                <w:szCs w:val="18"/>
              </w:rPr>
              <w:t xml:space="preserve">Location</w:t>
            </w:r>
          </w:p>
        </w:tc>
        <w:tc>
          <w:tcPr>
            <w:tcW w:type="dxa" w:w="2891"/>
            <w:shd w:fill="1F3864" w:color="auto" w:val="clear"/>
            <w:tcMar>
              <w:top w:type="dxa" w:w="60"/>
              <w:left w:type="dxa" w:w="90"/>
              <w:bottom w:type="dxa" w:w="60"/>
              <w:right w:type="dxa" w:w="90"/>
            </w:tcMar>
          </w:tcPr>
          <w:p>
            <w:pPr>
              <w:spacing w:after="40"/>
            </w:pPr>
            <w:r>
              <w:rPr>
                <w:b/>
                <w:bCs/>
                <w:color w:val="FFFFFF"/>
                <w:sz w:val="18"/>
                <w:szCs w:val="18"/>
              </w:rPr>
              <w:t xml:space="preserve">Reference as written</w:t>
            </w:r>
          </w:p>
        </w:tc>
        <w:tc>
          <w:tcPr>
            <w:tcW w:type="dxa" w:w="2891"/>
            <w:shd w:fill="1F3864" w:color="auto" w:val="clear"/>
            <w:tcMar>
              <w:top w:type="dxa" w:w="60"/>
              <w:left w:type="dxa" w:w="90"/>
              <w:bottom w:type="dxa" w:w="60"/>
              <w:right w:type="dxa" w:w="90"/>
            </w:tcMar>
          </w:tcPr>
          <w:p>
            <w:pPr>
              <w:spacing w:after="40"/>
            </w:pPr>
            <w:r>
              <w:rPr>
                <w:b/>
                <w:bCs/>
                <w:color w:val="FFFFFF"/>
                <w:sz w:val="18"/>
                <w:szCs w:val="18"/>
              </w:rPr>
              <w:t xml:space="preserve">Problem</w:t>
            </w:r>
          </w:p>
        </w:tc>
        <w:tc>
          <w:tcPr>
            <w:tcW w:type="dxa" w:w="2314"/>
            <w:shd w:fill="1F3864" w:color="auto" w:val="clear"/>
            <w:tcMar>
              <w:top w:type="dxa" w:w="60"/>
              <w:left w:type="dxa" w:w="90"/>
              <w:bottom w:type="dxa" w:w="60"/>
              <w:right w:type="dxa" w:w="90"/>
            </w:tcMar>
          </w:tcPr>
          <w:p>
            <w:pPr>
              <w:spacing w:after="40"/>
            </w:pPr>
            <w:r>
              <w:rPr>
                <w:b/>
                <w:bCs/>
                <w:color w:val="FFFFFF"/>
                <w:sz w:val="18"/>
                <w:szCs w:val="18"/>
              </w:rPr>
              <w:t xml:space="preserve">Correct target</w:t>
            </w:r>
          </w:p>
        </w:tc>
      </w:tr>
      <w:tr>
        <w:tc>
          <w:tcPr>
            <w:tcW w:type="dxa" w:w="1542"/>
            <w:tcMar>
              <w:top w:type="dxa" w:w="60"/>
              <w:left w:type="dxa" w:w="90"/>
              <w:bottom w:type="dxa" w:w="60"/>
              <w:right w:type="dxa" w:w="90"/>
            </w:tcMar>
          </w:tcPr>
          <w:p>
            <w:pPr>
              <w:spacing w:after="40"/>
            </w:pPr>
            <w:r>
              <w:rPr>
                <w:sz w:val="18"/>
                <w:szCs w:val="18"/>
              </w:rPr>
              <w:t xml:space="preserve">§4.7, p. 40</w:t>
            </w:r>
          </w:p>
        </w:tc>
        <w:tc>
          <w:tcPr>
            <w:tcW w:type="dxa" w:w="2891"/>
            <w:tcMar>
              <w:top w:type="dxa" w:w="60"/>
              <w:left w:type="dxa" w:w="90"/>
              <w:bottom w:type="dxa" w:w="60"/>
              <w:right w:type="dxa" w:w="90"/>
            </w:tcMar>
          </w:tcPr>
          <w:p>
            <w:pPr>
              <w:spacing w:after="40"/>
            </w:pPr>
            <w:r>
              <w:rPr>
                <w:sz w:val="18"/>
                <w:szCs w:val="18"/>
              </w:rPr>
              <w:t xml:space="preserve">“close in magnitude to the Section 4.6 estimate”</w:t>
            </w:r>
          </w:p>
        </w:tc>
        <w:tc>
          <w:tcPr>
            <w:tcW w:type="dxa" w:w="2891"/>
            <w:tcMar>
              <w:top w:type="dxa" w:w="60"/>
              <w:left w:type="dxa" w:w="90"/>
              <w:bottom w:type="dxa" w:w="60"/>
              <w:right w:type="dxa" w:w="90"/>
            </w:tcMar>
          </w:tcPr>
          <w:p>
            <w:pPr>
              <w:spacing w:after="40"/>
            </w:pPr>
            <w:r>
              <w:rPr>
                <w:sz w:val="18"/>
                <w:szCs w:val="18"/>
              </w:rPr>
              <w:t xml:space="preserve">§4.6 holds robustness checks, not the estimate</w:t>
            </w:r>
          </w:p>
        </w:tc>
        <w:tc>
          <w:tcPr>
            <w:tcW w:type="dxa" w:w="2314"/>
            <w:tcMar>
              <w:top w:type="dxa" w:w="60"/>
              <w:left w:type="dxa" w:w="90"/>
              <w:bottom w:type="dxa" w:w="60"/>
              <w:right w:type="dxa" w:w="90"/>
            </w:tcMar>
          </w:tcPr>
          <w:p>
            <w:pPr>
              <w:spacing w:after="40"/>
            </w:pPr>
            <w:r>
              <w:rPr>
                <w:sz w:val="18"/>
                <w:szCs w:val="18"/>
              </w:rPr>
              <w:t xml:space="preserve">§4.4 / Table 4.1</w:t>
            </w:r>
          </w:p>
        </w:tc>
      </w:tr>
      <w:tr>
        <w:tc>
          <w:tcPr>
            <w:tcW w:type="dxa" w:w="1542"/>
            <w:tcMar>
              <w:top w:type="dxa" w:w="60"/>
              <w:left w:type="dxa" w:w="90"/>
              <w:bottom w:type="dxa" w:w="60"/>
              <w:right w:type="dxa" w:w="90"/>
            </w:tcMar>
          </w:tcPr>
          <w:p>
            <w:pPr>
              <w:spacing w:after="40"/>
            </w:pPr>
            <w:r>
              <w:rPr>
                <w:sz w:val="18"/>
                <w:szCs w:val="18"/>
              </w:rPr>
              <w:t xml:space="preserve">§4.7, p. 40</w:t>
            </w:r>
          </w:p>
        </w:tc>
        <w:tc>
          <w:tcPr>
            <w:tcW w:type="dxa" w:w="2891"/>
            <w:tcMar>
              <w:top w:type="dxa" w:w="60"/>
              <w:left w:type="dxa" w:w="90"/>
              <w:bottom w:type="dxa" w:w="60"/>
              <w:right w:type="dxa" w:w="90"/>
            </w:tcMar>
          </w:tcPr>
          <w:p>
            <w:pPr>
              <w:spacing w:after="40"/>
            </w:pPr>
            <w:r>
              <w:rPr>
                <w:sz w:val="18"/>
                <w:szCs w:val="18"/>
              </w:rPr>
              <w:t xml:space="preserve">“verification-strength comparison described in Section 3.16”</w:t>
            </w:r>
          </w:p>
        </w:tc>
        <w:tc>
          <w:tcPr>
            <w:tcW w:type="dxa" w:w="2891"/>
            <w:tcMar>
              <w:top w:type="dxa" w:w="60"/>
              <w:left w:type="dxa" w:w="90"/>
              <w:bottom w:type="dxa" w:w="60"/>
              <w:right w:type="dxa" w:w="90"/>
            </w:tcMar>
          </w:tcPr>
          <w:p>
            <w:pPr>
              <w:spacing w:after="40"/>
            </w:pPr>
            <w:r>
              <w:rPr>
                <w:sz w:val="18"/>
                <w:szCs w:val="18"/>
              </w:rPr>
              <w:t xml:space="preserve">§3.16 contains no such description</w:t>
            </w:r>
          </w:p>
        </w:tc>
        <w:tc>
          <w:tcPr>
            <w:tcW w:type="dxa" w:w="2314"/>
            <w:tcMar>
              <w:top w:type="dxa" w:w="60"/>
              <w:left w:type="dxa" w:w="90"/>
              <w:bottom w:type="dxa" w:w="60"/>
              <w:right w:type="dxa" w:w="90"/>
            </w:tcMar>
          </w:tcPr>
          <w:p>
            <w:pPr>
              <w:spacing w:after="40"/>
            </w:pPr>
            <w:r>
              <w:rPr>
                <w:sz w:val="18"/>
                <w:szCs w:val="18"/>
              </w:rPr>
              <w:t xml:space="preserve">Add it to Chapter 3</w:t>
            </w:r>
          </w:p>
        </w:tc>
      </w:tr>
      <w:tr>
        <w:tc>
          <w:tcPr>
            <w:tcW w:type="dxa" w:w="1542"/>
            <w:tcMar>
              <w:top w:type="dxa" w:w="60"/>
              <w:left w:type="dxa" w:w="90"/>
              <w:bottom w:type="dxa" w:w="60"/>
              <w:right w:type="dxa" w:w="90"/>
            </w:tcMar>
          </w:tcPr>
          <w:p>
            <w:pPr>
              <w:spacing w:after="40"/>
            </w:pPr>
            <w:r>
              <w:rPr>
                <w:sz w:val="18"/>
                <w:szCs w:val="18"/>
              </w:rPr>
              <w:t xml:space="preserve">§3.5, p. 11; §3.9, p. 18</w:t>
            </w:r>
          </w:p>
        </w:tc>
        <w:tc>
          <w:tcPr>
            <w:tcW w:type="dxa" w:w="2891"/>
            <w:tcMar>
              <w:top w:type="dxa" w:w="60"/>
              <w:left w:type="dxa" w:w="90"/>
              <w:bottom w:type="dxa" w:w="60"/>
              <w:right w:type="dxa" w:w="90"/>
            </w:tcMar>
          </w:tcPr>
          <w:p>
            <w:pPr>
              <w:spacing w:after="40"/>
            </w:pPr>
            <w:r>
              <w:rPr>
                <w:sz w:val="18"/>
                <w:szCs w:val="18"/>
              </w:rPr>
              <w:t xml:space="preserve">Future-expansion protocol and “additional pairs” in “Section 5.12”</w:t>
            </w:r>
          </w:p>
        </w:tc>
        <w:tc>
          <w:tcPr>
            <w:tcW w:type="dxa" w:w="2891"/>
            <w:tcMar>
              <w:top w:type="dxa" w:w="60"/>
              <w:left w:type="dxa" w:w="90"/>
              <w:bottom w:type="dxa" w:w="60"/>
              <w:right w:type="dxa" w:w="90"/>
            </w:tcMar>
          </w:tcPr>
          <w:p>
            <w:pPr>
              <w:spacing w:after="40"/>
            </w:pPr>
            <w:r>
              <w:rPr>
                <w:sz w:val="18"/>
                <w:szCs w:val="18"/>
              </w:rPr>
              <w:t xml:space="preserve">§5.12 contains neither</w:t>
            </w:r>
          </w:p>
        </w:tc>
        <w:tc>
          <w:tcPr>
            <w:tcW w:type="dxa" w:w="2314"/>
            <w:tcMar>
              <w:top w:type="dxa" w:w="60"/>
              <w:left w:type="dxa" w:w="90"/>
              <w:bottom w:type="dxa" w:w="60"/>
              <w:right w:type="dxa" w:w="90"/>
            </w:tcMar>
          </w:tcPr>
          <w:p>
            <w:pPr>
              <w:spacing w:after="40"/>
            </w:pPr>
            <w:r>
              <w:rPr>
                <w:sz w:val="18"/>
                <w:szCs w:val="18"/>
              </w:rPr>
              <w:t xml:space="preserve">New future-research section</w:t>
            </w:r>
          </w:p>
        </w:tc>
      </w:tr>
      <w:tr>
        <w:tc>
          <w:tcPr>
            <w:tcW w:type="dxa" w:w="1542"/>
            <w:tcMar>
              <w:top w:type="dxa" w:w="60"/>
              <w:left w:type="dxa" w:w="90"/>
              <w:bottom w:type="dxa" w:w="60"/>
              <w:right w:type="dxa" w:w="90"/>
            </w:tcMar>
          </w:tcPr>
          <w:p>
            <w:pPr>
              <w:spacing w:after="40"/>
            </w:pPr>
            <w:r>
              <w:rPr>
                <w:sz w:val="18"/>
                <w:szCs w:val="18"/>
              </w:rPr>
              <w:t xml:space="preserve">§4.12, p. 51</w:t>
            </w:r>
          </w:p>
        </w:tc>
        <w:tc>
          <w:tcPr>
            <w:tcW w:type="dxa" w:w="2891"/>
            <w:tcMar>
              <w:top w:type="dxa" w:w="60"/>
              <w:left w:type="dxa" w:w="90"/>
              <w:bottom w:type="dxa" w:w="60"/>
              <w:right w:type="dxa" w:w="90"/>
            </w:tcMar>
          </w:tcPr>
          <w:p>
            <w:pPr>
              <w:spacing w:after="40"/>
            </w:pPr>
            <w:r>
              <w:rPr>
                <w:sz w:val="18"/>
                <w:szCs w:val="18"/>
              </w:rPr>
              <w:t xml:space="preserve">“the benchmark column of Table 4.2”</w:t>
            </w:r>
          </w:p>
        </w:tc>
        <w:tc>
          <w:tcPr>
            <w:tcW w:type="dxa" w:w="2891"/>
            <w:tcMar>
              <w:top w:type="dxa" w:w="60"/>
              <w:left w:type="dxa" w:w="90"/>
              <w:bottom w:type="dxa" w:w="60"/>
              <w:right w:type="dxa" w:w="90"/>
            </w:tcMar>
          </w:tcPr>
          <w:p>
            <w:pPr>
              <w:spacing w:after="40"/>
            </w:pPr>
            <w:r>
              <w:rPr>
                <w:sz w:val="18"/>
                <w:szCs w:val="18"/>
              </w:rPr>
              <w:t xml:space="preserve">Table 4.2 has no benchmark column</w:t>
            </w:r>
          </w:p>
        </w:tc>
        <w:tc>
          <w:tcPr>
            <w:tcW w:type="dxa" w:w="2314"/>
            <w:tcMar>
              <w:top w:type="dxa" w:w="60"/>
              <w:left w:type="dxa" w:w="90"/>
              <w:bottom w:type="dxa" w:w="60"/>
              <w:right w:type="dxa" w:w="90"/>
            </w:tcMar>
          </w:tcPr>
          <w:p>
            <w:pPr>
              <w:spacing w:after="40"/>
            </w:pPr>
            <w:r>
              <w:rPr>
                <w:sz w:val="18"/>
                <w:szCs w:val="18"/>
              </w:rPr>
              <w:t xml:space="preserve">Table 4.1</w:t>
            </w:r>
          </w:p>
        </w:tc>
      </w:tr>
      <w:tr>
        <w:tc>
          <w:tcPr>
            <w:tcW w:type="dxa" w:w="1542"/>
            <w:tcMar>
              <w:top w:type="dxa" w:w="60"/>
              <w:left w:type="dxa" w:w="90"/>
              <w:bottom w:type="dxa" w:w="60"/>
              <w:right w:type="dxa" w:w="90"/>
            </w:tcMar>
          </w:tcPr>
          <w:p>
            <w:pPr>
              <w:spacing w:after="40"/>
            </w:pPr>
            <w:r>
              <w:rPr>
                <w:sz w:val="18"/>
                <w:szCs w:val="18"/>
              </w:rPr>
              <w:t xml:space="preserve">§4.12.4, p. 59</w:t>
            </w:r>
          </w:p>
        </w:tc>
        <w:tc>
          <w:tcPr>
            <w:tcW w:type="dxa" w:w="2891"/>
            <w:tcMar>
              <w:top w:type="dxa" w:w="60"/>
              <w:left w:type="dxa" w:w="90"/>
              <w:bottom w:type="dxa" w:w="60"/>
              <w:right w:type="dxa" w:w="90"/>
            </w:tcMar>
          </w:tcPr>
          <w:p>
            <w:pPr>
              <w:spacing w:after="40"/>
            </w:pPr>
            <w:r>
              <w:rPr>
                <w:sz w:val="18"/>
                <w:szCs w:val="18"/>
              </w:rPr>
              <w:t xml:space="preserve">Monte Carlo status “(Table 4.10)”</w:t>
            </w:r>
          </w:p>
        </w:tc>
        <w:tc>
          <w:tcPr>
            <w:tcW w:type="dxa" w:w="2891"/>
            <w:tcMar>
              <w:top w:type="dxa" w:w="60"/>
              <w:left w:type="dxa" w:w="90"/>
              <w:bottom w:type="dxa" w:w="60"/>
              <w:right w:type="dxa" w:w="90"/>
            </w:tcMar>
          </w:tcPr>
          <w:p>
            <w:pPr>
              <w:spacing w:after="40"/>
            </w:pPr>
            <w:r>
              <w:rPr>
                <w:sz w:val="18"/>
                <w:szCs w:val="18"/>
              </w:rPr>
              <w:t xml:space="preserve">Table 4.10 is the callable table</w:t>
            </w:r>
          </w:p>
        </w:tc>
        <w:tc>
          <w:tcPr>
            <w:tcW w:type="dxa" w:w="2314"/>
            <w:tcMar>
              <w:top w:type="dxa" w:w="60"/>
              <w:left w:type="dxa" w:w="90"/>
              <w:bottom w:type="dxa" w:w="60"/>
              <w:right w:type="dxa" w:w="90"/>
            </w:tcMar>
          </w:tcPr>
          <w:p>
            <w:pPr>
              <w:spacing w:after="40"/>
            </w:pPr>
            <w:r>
              <w:rPr>
                <w:sz w:val="18"/>
                <w:szCs w:val="18"/>
              </w:rPr>
              <w:t xml:space="preserve">Table 4.18</w:t>
            </w:r>
          </w:p>
        </w:tc>
      </w:tr>
      <w:tr>
        <w:tc>
          <w:tcPr>
            <w:tcW w:type="dxa" w:w="1542"/>
            <w:tcMar>
              <w:top w:type="dxa" w:w="60"/>
              <w:left w:type="dxa" w:w="90"/>
              <w:bottom w:type="dxa" w:w="60"/>
              <w:right w:type="dxa" w:w="90"/>
            </w:tcMar>
          </w:tcPr>
          <w:p>
            <w:pPr>
              <w:spacing w:after="40"/>
            </w:pPr>
            <w:r>
              <w:rPr>
                <w:sz w:val="18"/>
                <w:szCs w:val="18"/>
              </w:rPr>
              <w:t xml:space="preserve">§4.1, p. 29</w:t>
            </w:r>
          </w:p>
        </w:tc>
        <w:tc>
          <w:tcPr>
            <w:tcW w:type="dxa" w:w="2891"/>
            <w:tcMar>
              <w:top w:type="dxa" w:w="60"/>
              <w:left w:type="dxa" w:w="90"/>
              <w:bottom w:type="dxa" w:w="60"/>
              <w:right w:type="dxa" w:w="90"/>
            </w:tcMar>
          </w:tcPr>
          <w:p>
            <w:pPr>
              <w:spacing w:after="40"/>
            </w:pPr>
            <w:r>
              <w:rPr>
                <w:sz w:val="18"/>
                <w:szCs w:val="18"/>
              </w:rPr>
              <w:t xml:space="preserve">Decisions “in Section 4.12.9”</w:t>
            </w:r>
          </w:p>
        </w:tc>
        <w:tc>
          <w:tcPr>
            <w:tcW w:type="dxa" w:w="2891"/>
            <w:tcMar>
              <w:top w:type="dxa" w:w="60"/>
              <w:left w:type="dxa" w:w="90"/>
              <w:bottom w:type="dxa" w:w="60"/>
              <w:right w:type="dxa" w:w="90"/>
            </w:tcMar>
          </w:tcPr>
          <w:p>
            <w:pPr>
              <w:spacing w:after="40"/>
            </w:pPr>
            <w:r>
              <w:rPr>
                <w:sz w:val="18"/>
                <w:szCs w:val="18"/>
              </w:rPr>
              <w:t xml:space="preserve">Final decisions are in §4.11</w:t>
            </w:r>
          </w:p>
        </w:tc>
        <w:tc>
          <w:tcPr>
            <w:tcW w:type="dxa" w:w="2314"/>
            <w:tcMar>
              <w:top w:type="dxa" w:w="60"/>
              <w:left w:type="dxa" w:w="90"/>
              <w:bottom w:type="dxa" w:w="60"/>
              <w:right w:type="dxa" w:w="90"/>
            </w:tcMar>
          </w:tcPr>
          <w:p>
            <w:pPr>
              <w:spacing w:after="40"/>
            </w:pPr>
            <w:r>
              <w:rPr>
                <w:sz w:val="18"/>
                <w:szCs w:val="18"/>
              </w:rPr>
              <w:t xml:space="preserve">§4.11 / Table 4.8</w:t>
            </w:r>
          </w:p>
        </w:tc>
      </w:tr>
      <w:tr>
        <w:tc>
          <w:tcPr>
            <w:tcW w:type="dxa" w:w="1542"/>
            <w:tcMar>
              <w:top w:type="dxa" w:w="60"/>
              <w:left w:type="dxa" w:w="90"/>
              <w:bottom w:type="dxa" w:w="60"/>
              <w:right w:type="dxa" w:w="90"/>
            </w:tcMar>
          </w:tcPr>
          <w:p>
            <w:pPr>
              <w:spacing w:after="40"/>
            </w:pPr>
            <w:r>
              <w:rPr>
                <w:sz w:val="18"/>
                <w:szCs w:val="18"/>
              </w:rPr>
              <w:t xml:space="preserve">§3.8, p. 17; §5.3, p. 79</w:t>
            </w:r>
          </w:p>
        </w:tc>
        <w:tc>
          <w:tcPr>
            <w:tcW w:type="dxa" w:w="2891"/>
            <w:tcMar>
              <w:top w:type="dxa" w:w="60"/>
              <w:left w:type="dxa" w:w="90"/>
              <w:bottom w:type="dxa" w:w="60"/>
              <w:right w:type="dxa" w:w="90"/>
            </w:tcMar>
          </w:tcPr>
          <w:p>
            <w:pPr>
              <w:spacing w:after="40"/>
            </w:pPr>
            <w:r>
              <w:rPr>
                <w:sz w:val="18"/>
                <w:szCs w:val="18"/>
              </w:rPr>
              <w:t xml:space="preserve">Rosenbaum Γ “reported in Sections 5.3 and 5.11”</w:t>
            </w:r>
          </w:p>
        </w:tc>
        <w:tc>
          <w:tcPr>
            <w:tcW w:type="dxa" w:w="2891"/>
            <w:tcMar>
              <w:top w:type="dxa" w:w="60"/>
              <w:left w:type="dxa" w:w="90"/>
              <w:bottom w:type="dxa" w:w="60"/>
              <w:right w:type="dxa" w:w="90"/>
            </w:tcMar>
          </w:tcPr>
          <w:p>
            <w:pPr>
              <w:spacing w:after="40"/>
            </w:pPr>
            <w:r>
              <w:rPr>
                <w:sz w:val="18"/>
                <w:szCs w:val="18"/>
              </w:rPr>
              <w:t xml:space="preserve">A result first reported in the discussion</w:t>
            </w:r>
          </w:p>
        </w:tc>
        <w:tc>
          <w:tcPr>
            <w:tcW w:type="dxa" w:w="2314"/>
            <w:tcMar>
              <w:top w:type="dxa" w:w="60"/>
              <w:left w:type="dxa" w:w="90"/>
              <w:bottom w:type="dxa" w:w="60"/>
              <w:right w:type="dxa" w:w="90"/>
            </w:tcMar>
          </w:tcPr>
          <w:p>
            <w:pPr>
              <w:spacing w:after="40"/>
            </w:pPr>
            <w:r>
              <w:rPr>
                <w:sz w:val="18"/>
                <w:szCs w:val="18"/>
              </w:rPr>
              <w:t xml:space="preserve">Report in Chapter 4 with a table</w:t>
            </w:r>
          </w:p>
        </w:tc>
      </w:tr>
      <w:tr>
        <w:tc>
          <w:tcPr>
            <w:tcW w:type="dxa" w:w="1542"/>
            <w:tcMar>
              <w:top w:type="dxa" w:w="60"/>
              <w:left w:type="dxa" w:w="90"/>
              <w:bottom w:type="dxa" w:w="60"/>
              <w:right w:type="dxa" w:w="90"/>
            </w:tcMar>
          </w:tcPr>
          <w:p>
            <w:pPr>
              <w:spacing w:after="40"/>
            </w:pPr>
            <w:r>
              <w:rPr>
                <w:sz w:val="18"/>
                <w:szCs w:val="18"/>
              </w:rPr>
              <w:t xml:space="preserve">Chapter 3 throughout</w:t>
            </w:r>
          </w:p>
        </w:tc>
        <w:tc>
          <w:tcPr>
            <w:tcW w:type="dxa" w:w="2891"/>
            <w:tcMar>
              <w:top w:type="dxa" w:w="60"/>
              <w:left w:type="dxa" w:w="90"/>
              <w:bottom w:type="dxa" w:w="60"/>
              <w:right w:type="dxa" w:w="90"/>
            </w:tcMar>
          </w:tcPr>
          <w:p>
            <w:pPr>
              <w:spacing w:after="40"/>
            </w:pPr>
            <w:r>
              <w:rPr>
                <w:sz w:val="18"/>
                <w:szCs w:val="18"/>
              </w:rPr>
              <w:t xml:space="preserve">“Decision 2–6”, “separately circulated scope and title note”</w:t>
            </w:r>
          </w:p>
        </w:tc>
        <w:tc>
          <w:tcPr>
            <w:tcW w:type="dxa" w:w="2891"/>
            <w:tcMar>
              <w:top w:type="dxa" w:w="60"/>
              <w:left w:type="dxa" w:w="90"/>
              <w:bottom w:type="dxa" w:w="60"/>
              <w:right w:type="dxa" w:w="90"/>
            </w:tcMar>
          </w:tcPr>
          <w:p>
            <w:pPr>
              <w:spacing w:after="40"/>
            </w:pPr>
            <w:r>
              <w:rPr>
                <w:sz w:val="18"/>
                <w:szCs w:val="18"/>
              </w:rPr>
              <w:t xml:space="preserve">Documents external to the thesis</w:t>
            </w:r>
          </w:p>
        </w:tc>
        <w:tc>
          <w:tcPr>
            <w:tcW w:type="dxa" w:w="2314"/>
            <w:tcMar>
              <w:top w:type="dxa" w:w="60"/>
              <w:left w:type="dxa" w:w="90"/>
              <w:bottom w:type="dxa" w:w="60"/>
              <w:right w:type="dxa" w:w="90"/>
            </w:tcMar>
          </w:tcPr>
          <w:p>
            <w:pPr>
              <w:spacing w:after="40"/>
            </w:pPr>
            <w:r>
              <w:rPr>
                <w:sz w:val="18"/>
                <w:szCs w:val="18"/>
              </w:rPr>
              <w:t xml:space="preserve">Remove; state the decision taken</w:t>
            </w:r>
          </w:p>
        </w:tc>
      </w:tr>
    </w:tbl>
    <w:p>
      <w:pPr>
        <w:spacing w:after="60"/>
      </w:pPr>
    </w:p>
    <w:p>
      <w:pPr>
        <w:pStyle w:val="Heading2"/>
        <w:spacing w:after="120" w:before="240"/>
      </w:pPr>
      <w:r>
        <w:t xml:space="preserve">4.5 (e) Are the research objectives adequately addressed?</w:t>
      </w:r>
    </w:p>
    <w:p>
      <w:pPr>
        <w:spacing w:after="120" w:line="276"/>
      </w:pPr>
      <w:r>
        <w:t xml:space="preserve">Objective (a) is addressed for callable and perpetual sukuk. It is addressed ambiguously for labelled sukuk, and only by documentation for putable sukuk. Objective (b) is not addressed (Table 1). As a consequence, the conclusion cannot tell the reader </w:t>
      </w:r>
      <w:r>
        <w:rPr>
          <w:i/>
          <w:iCs/>
        </w:rPr>
        <w:t xml:space="preserve">why</w:t>
      </w:r>
      <w:r>
        <w:t xml:space="preserve"> the differentials arise. That is the question a determinants objective exists to answer, and it is where the analytical substance the draft currently lacks would come from.</w:t>
      </w:r>
    </w:p>
    <w:p>
      <w:pPr>
        <w:pStyle w:val="Heading1"/>
        <w:spacing w:after="160" w:before="360"/>
      </w:pPr>
      <w:r>
        <w:t xml:space="preserve">5. Discussion (Chapter 5)</w:t>
      </w:r>
    </w:p>
    <w:p>
      <w:pPr>
        <w:pStyle w:val="Heading2"/>
        <w:spacing w:after="120" w:before="240"/>
      </w:pPr>
      <w:r>
        <w:t xml:space="preserve">5.1 General assessment</w:t>
      </w:r>
    </w:p>
    <w:p>
      <w:pPr>
        <w:spacing w:after="120" w:line="276"/>
      </w:pPr>
      <w:r>
        <w:t xml:space="preserve">The literature coverage is broad. Several attributions are corrected with care: Flammer (2021), Febi et al. (2018) and Tang and Zhang (2020) on p. 82; Tewari et al. (2015) on p. 75. But the discussion mostly </w:t>
      </w:r>
      <w:r>
        <w:rPr>
          <w:b/>
          <w:bCs/>
        </w:rPr>
        <w:t xml:space="preserve">lists</w:t>
      </w:r>
      <w:r>
        <w:t xml:space="preserve"> studies and seldom uses them to </w:t>
      </w:r>
      <w:r>
        <w:rPr>
          <w:b/>
          <w:bCs/>
        </w:rPr>
        <w:t xml:space="preserve">explain</w:t>
      </w:r>
      <w:r>
        <w:t xml:space="preserve"> the findings. For each finding, the discussion should do four things:</w:t>
      </w:r>
    </w:p>
    <w:p>
      <w:pPr>
        <w:pStyle w:val="ListParagraph"/>
        <w:numPr>
          <w:ilvl w:val="0"/>
          <w:numId w:val="5"/>
        </w:numPr>
        <w:spacing w:after="80" w:line="264"/>
      </w:pPr>
      <w:r>
        <w:t xml:space="preserve">state whether the literature leads us to expect the same result;</w:t>
      </w:r>
    </w:p>
    <w:p>
      <w:pPr>
        <w:pStyle w:val="ListParagraph"/>
        <w:numPr>
          <w:ilvl w:val="0"/>
          <w:numId w:val="5"/>
        </w:numPr>
        <w:spacing w:after="80" w:line="264"/>
      </w:pPr>
      <w:r>
        <w:t xml:space="preserve">say whether the result confirms or contrasts with that expectation;</w:t>
      </w:r>
    </w:p>
    <w:p>
      <w:pPr>
        <w:pStyle w:val="ListParagraph"/>
        <w:numPr>
          <w:ilvl w:val="0"/>
          <w:numId w:val="5"/>
        </w:numPr>
        <w:spacing w:after="80" w:line="264"/>
      </w:pPr>
      <w:r>
        <w:t xml:space="preserve">explain the agreement or difference, using features of this market, design or sample that the thesis can document;</w:t>
      </w:r>
    </w:p>
    <w:p>
      <w:pPr>
        <w:pStyle w:val="ListParagraph"/>
        <w:numPr>
          <w:ilvl w:val="0"/>
          <w:numId w:val="5"/>
        </w:numPr>
        <w:spacing w:after="80" w:line="264"/>
      </w:pPr>
      <w:r>
        <w:t xml:space="preserve">state what follows for theory and practice.</w:t>
      </w:r>
    </w:p>
    <w:p>
      <w:pPr>
        <w:spacing w:after="120" w:line="276"/>
      </w:pPr>
      <w:r>
        <w:t xml:space="preserve">The discussion is also partly out of date. §5.6 (p. 87) and §5.7 (p. 88) rest the directional and theoretical claims on the two benchmark “closest credit” AT1 pairs and on “consistently negative” label estimates. The final evidence has replaced both.</w:t>
      </w:r>
    </w:p>
    <w:p>
      <w:pPr>
        <w:pStyle w:val="Heading2"/>
        <w:spacing w:after="120" w:before="240"/>
      </w:pPr>
      <w:r>
        <w:t xml:space="preserve">5.2 Finding-by-finding comparison with the literature</w:t>
      </w:r>
    </w:p>
    <w:p>
      <w:pPr>
        <w:spacing w:after="120" w:line="276"/>
      </w:pPr>
      <w:r>
        <w:t xml:space="preserve">Table 5 shows the kind of analysis the discussion needs. Every study it cites has been checked against its published abstract or text (see Appendix 2 of this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2410"/>
        <w:gridCol w:w="1060"/>
        <w:gridCol w:w="3277"/>
        <w:gridCol w:w="1445"/>
      </w:tblGrid>
      <w:tr>
        <w:trPr>
          <w:tblHeader/>
        </w:trPr>
        <w:tc>
          <w:tcPr>
            <w:tcW w:type="dxa" w:w="1446"/>
            <w:shd w:fill="1F3864" w:color="auto" w:val="clear"/>
            <w:tcMar>
              <w:top w:type="dxa" w:w="60"/>
              <w:left w:type="dxa" w:w="90"/>
              <w:bottom w:type="dxa" w:w="60"/>
              <w:right w:type="dxa" w:w="90"/>
            </w:tcMar>
          </w:tcPr>
          <w:p>
            <w:pPr>
              <w:spacing w:after="40"/>
            </w:pPr>
            <w:r>
              <w:rPr>
                <w:b/>
                <w:bCs/>
                <w:color w:val="FFFFFF"/>
                <w:sz w:val="18"/>
                <w:szCs w:val="18"/>
              </w:rPr>
              <w:t xml:space="preserve">Finding</w:t>
            </w:r>
          </w:p>
        </w:tc>
        <w:tc>
          <w:tcPr>
            <w:tcW w:type="dxa" w:w="2410"/>
            <w:shd w:fill="1F3864" w:color="auto" w:val="clear"/>
            <w:tcMar>
              <w:top w:type="dxa" w:w="60"/>
              <w:left w:type="dxa" w:w="90"/>
              <w:bottom w:type="dxa" w:w="60"/>
              <w:right w:type="dxa" w:w="90"/>
            </w:tcMar>
          </w:tcPr>
          <w:p>
            <w:pPr>
              <w:spacing w:after="40"/>
            </w:pPr>
            <w:r>
              <w:rPr>
                <w:b/>
                <w:bCs/>
                <w:color w:val="FFFFFF"/>
                <w:sz w:val="18"/>
                <w:szCs w:val="18"/>
              </w:rPr>
              <w:t xml:space="preserve">Prior evidence</w:t>
            </w:r>
          </w:p>
        </w:tc>
        <w:tc>
          <w:tcPr>
            <w:tcW w:type="dxa" w:w="1060"/>
            <w:shd w:fill="1F3864" w:color="auto" w:val="clear"/>
            <w:tcMar>
              <w:top w:type="dxa" w:w="60"/>
              <w:left w:type="dxa" w:w="90"/>
              <w:bottom w:type="dxa" w:w="60"/>
              <w:right w:type="dxa" w:w="90"/>
            </w:tcMar>
          </w:tcPr>
          <w:p>
            <w:pPr>
              <w:spacing w:after="40"/>
            </w:pPr>
            <w:r>
              <w:rPr>
                <w:b/>
                <w:bCs/>
                <w:color w:val="FFFFFF"/>
                <w:sz w:val="18"/>
                <w:szCs w:val="18"/>
              </w:rPr>
              <w:t xml:space="preserve">Confirms / contrasts</w:t>
            </w:r>
          </w:p>
        </w:tc>
        <w:tc>
          <w:tcPr>
            <w:tcW w:type="dxa" w:w="3277"/>
            <w:shd w:fill="1F3864" w:color="auto" w:val="clear"/>
            <w:tcMar>
              <w:top w:type="dxa" w:w="60"/>
              <w:left w:type="dxa" w:w="90"/>
              <w:bottom w:type="dxa" w:w="60"/>
              <w:right w:type="dxa" w:w="90"/>
            </w:tcMar>
          </w:tcPr>
          <w:p>
            <w:pPr>
              <w:spacing w:after="40"/>
            </w:pPr>
            <w:r>
              <w:rPr>
                <w:b/>
                <w:bCs/>
                <w:color w:val="FFFFFF"/>
                <w:sz w:val="18"/>
                <w:szCs w:val="18"/>
              </w:rPr>
              <w:t xml:space="preserve">Why the same or different (to develop)</w:t>
            </w:r>
          </w:p>
        </w:tc>
        <w:tc>
          <w:tcPr>
            <w:tcW w:type="dxa" w:w="1445"/>
            <w:shd w:fill="1F3864" w:color="auto" w:val="clear"/>
            <w:tcMar>
              <w:top w:type="dxa" w:w="60"/>
              <w:left w:type="dxa" w:w="90"/>
              <w:bottom w:type="dxa" w:w="60"/>
              <w:right w:type="dxa" w:w="90"/>
            </w:tcMar>
          </w:tcPr>
          <w:p>
            <w:pPr>
              <w:spacing w:after="40"/>
            </w:pPr>
            <w:r>
              <w:rPr>
                <w:b/>
                <w:bCs/>
                <w:color w:val="FFFFFF"/>
                <w:sz w:val="18"/>
                <w:szCs w:val="18"/>
              </w:rPr>
              <w:t xml:space="preserve">Where in draft</w:t>
            </w:r>
          </w:p>
        </w:tc>
      </w:tr>
      <w:tr>
        <w:tc>
          <w:tcPr>
            <w:tcW w:type="dxa" w:w="1446"/>
            <w:tcMar>
              <w:top w:type="dxa" w:w="60"/>
              <w:left w:type="dxa" w:w="90"/>
              <w:bottom w:type="dxa" w:w="60"/>
              <w:right w:type="dxa" w:w="90"/>
            </w:tcMar>
          </w:tcPr>
          <w:p>
            <w:pPr>
              <w:spacing w:after="40"/>
            </w:pPr>
            <w:r>
              <w:rPr>
                <w:sz w:val="18"/>
                <w:szCs w:val="18"/>
              </w:rPr>
              <w:t xml:space="preserve">Callable: no detectable differential (+39 bp, n.s.)</w:t>
            </w:r>
          </w:p>
        </w:tc>
        <w:tc>
          <w:tcPr>
            <w:tcW w:type="dxa" w:w="2410"/>
            <w:tcMar>
              <w:top w:type="dxa" w:w="60"/>
              <w:left w:type="dxa" w:w="90"/>
              <w:bottom w:type="dxa" w:w="60"/>
              <w:right w:type="dxa" w:w="90"/>
            </w:tcMar>
          </w:tcPr>
          <w:p>
            <w:pPr>
              <w:spacing w:after="40"/>
            </w:pPr>
            <w:r>
              <w:rPr>
                <w:sz w:val="18"/>
                <w:szCs w:val="18"/>
              </w:rPr>
              <w:t xml:space="preserve">Becker et al. (2024): callable bonds have </w:t>
            </w:r>
            <w:r>
              <w:rPr>
                <w:b/>
                <w:bCs/>
                <w:sz w:val="18"/>
                <w:szCs w:val="18"/>
              </w:rPr>
              <w:t xml:space="preserve">higher yields and lower prices</w:t>
            </w:r>
            <w:r>
              <w:rPr>
                <w:sz w:val="18"/>
                <w:szCs w:val="18"/>
              </w:rPr>
              <w:t xml:space="preserve"> than non-callables of the same issuer at the same time, with the value of callability determined by credit quality. Samet &amp; Obay (2014): positive call spread, larger for junk issuers.</w:t>
            </w:r>
          </w:p>
        </w:tc>
        <w:tc>
          <w:tcPr>
            <w:tcW w:type="dxa" w:w="1060"/>
            <w:tcMar>
              <w:top w:type="dxa" w:w="60"/>
              <w:left w:type="dxa" w:w="90"/>
              <w:bottom w:type="dxa" w:w="60"/>
              <w:right w:type="dxa" w:w="90"/>
            </w:tcMar>
          </w:tcPr>
          <w:p>
            <w:pPr>
              <w:spacing w:after="40"/>
            </w:pPr>
            <w:r>
              <w:rPr>
                <w:sz w:val="18"/>
                <w:szCs w:val="18"/>
              </w:rPr>
              <w:t xml:space="preserve">Contrasts</w:t>
            </w:r>
          </w:p>
        </w:tc>
        <w:tc>
          <w:tcPr>
            <w:tcW w:type="dxa" w:w="3277"/>
            <w:tcMar>
              <w:top w:type="dxa" w:w="60"/>
              <w:left w:type="dxa" w:w="90"/>
              <w:bottom w:type="dxa" w:w="60"/>
              <w:right w:type="dxa" w:w="90"/>
            </w:tcMar>
          </w:tcPr>
          <w:p>
            <w:pPr>
              <w:spacing w:after="40"/>
            </w:pPr>
            <w:r>
              <w:rPr>
                <w:sz w:val="18"/>
                <w:szCs w:val="18"/>
              </w:rPr>
              <w:t xml:space="preserve">(i) Design: you match across issuers, so credit noise (SD 126 bp) swamps a spread of tens of bp; Becker et al. match within issuer. (ii) Instrument: fixed-coupon USD sukuk calls are mostly short par calls, so option value is small (Table 4.6, fixed-coupon column only). (iii) Measure: yield-to-maturity vs yield-to-worst. </w:t>
            </w:r>
            <w:r>
              <w:rPr>
                <w:b/>
                <w:bCs/>
                <w:sz w:val="18"/>
                <w:szCs w:val="18"/>
              </w:rPr>
              <w:t xml:space="preserve">Test (i) directly</w:t>
            </w:r>
            <w:r>
              <w:rPr>
                <w:sz w:val="18"/>
                <w:szCs w:val="18"/>
              </w:rPr>
              <w:t xml:space="preserve"> with same-issuer callable vs bullet pairs.</w:t>
            </w:r>
          </w:p>
        </w:tc>
        <w:tc>
          <w:tcPr>
            <w:tcW w:type="dxa" w:w="1445"/>
            <w:tcMar>
              <w:top w:type="dxa" w:w="60"/>
              <w:left w:type="dxa" w:w="90"/>
              <w:bottom w:type="dxa" w:w="60"/>
              <w:right w:type="dxa" w:w="90"/>
            </w:tcMar>
          </w:tcPr>
          <w:p>
            <w:pPr>
              <w:spacing w:after="40"/>
            </w:pPr>
            <w:r>
              <w:rPr>
                <w:sz w:val="18"/>
                <w:szCs w:val="18"/>
              </w:rPr>
              <w:t xml:space="preserve">§5.2, pp. 73–76</w:t>
            </w:r>
          </w:p>
        </w:tc>
      </w:tr>
      <w:tr>
        <w:tc>
          <w:tcPr>
            <w:tcW w:type="dxa" w:w="1446"/>
            <w:tcMar>
              <w:top w:type="dxa" w:w="60"/>
              <w:left w:type="dxa" w:w="90"/>
              <w:bottom w:type="dxa" w:w="60"/>
              <w:right w:type="dxa" w:w="90"/>
            </w:tcMar>
          </w:tcPr>
          <w:p>
            <w:pPr>
              <w:spacing w:after="40"/>
            </w:pPr>
            <w:r>
              <w:rPr>
                <w:sz w:val="18"/>
                <w:szCs w:val="18"/>
              </w:rPr>
              <w:t xml:space="preserve">AT1 / perpetual: about +100 bp vs senior</w:t>
            </w:r>
          </w:p>
        </w:tc>
        <w:tc>
          <w:tcPr>
            <w:tcW w:type="dxa" w:w="2410"/>
            <w:tcMar>
              <w:top w:type="dxa" w:w="60"/>
              <w:left w:type="dxa" w:w="90"/>
              <w:bottom w:type="dxa" w:w="60"/>
              <w:right w:type="dxa" w:w="90"/>
            </w:tcMar>
          </w:tcPr>
          <w:p>
            <w:pPr>
              <w:spacing w:after="40"/>
            </w:pPr>
            <w:r>
              <w:rPr>
                <w:sz w:val="18"/>
                <w:szCs w:val="18"/>
              </w:rPr>
              <w:t xml:space="preserve">Oster (2020): +84.1 bp call premium for </w:t>
            </w:r>
            <w:r>
              <w:rPr>
                <w:b/>
                <w:bCs/>
                <w:sz w:val="18"/>
                <w:szCs w:val="18"/>
              </w:rPr>
              <w:t xml:space="preserve">unrated Tier 2</w:t>
            </w:r>
            <w:r>
              <w:rPr>
                <w:sz w:val="18"/>
                <w:szCs w:val="18"/>
              </w:rPr>
              <w:t xml:space="preserve"> CoCos, −12 bp for rated ones (spread to worst). Kind, Oster &amp; Peter (2022): AT1 CoCo spreads are driven by regulatory design (the maximum-distributable-amount regime) and security design, and are stable across calm and stressed periods. Salhani &amp; Mouselli (2022): Tier 1 sukuk are cheaper for UAE Islamic banks than equity.</w:t>
            </w:r>
          </w:p>
        </w:tc>
        <w:tc>
          <w:tcPr>
            <w:tcW w:type="dxa" w:w="1060"/>
            <w:tcMar>
              <w:top w:type="dxa" w:w="60"/>
              <w:left w:type="dxa" w:w="90"/>
              <w:bottom w:type="dxa" w:w="60"/>
              <w:right w:type="dxa" w:w="90"/>
            </w:tcMar>
          </w:tcPr>
          <w:p>
            <w:pPr>
              <w:spacing w:after="40"/>
            </w:pPr>
            <w:r>
              <w:rPr>
                <w:sz w:val="18"/>
                <w:szCs w:val="18"/>
              </w:rPr>
              <w:t xml:space="preserve">Consistent in sign and order of magnitude</w:t>
            </w:r>
          </w:p>
        </w:tc>
        <w:tc>
          <w:tcPr>
            <w:tcW w:type="dxa" w:w="3277"/>
            <w:tcMar>
              <w:top w:type="dxa" w:w="60"/>
              <w:left w:type="dxa" w:w="90"/>
              <w:bottom w:type="dxa" w:w="60"/>
              <w:right w:type="dxa" w:w="90"/>
            </w:tcMar>
          </w:tcPr>
          <w:p>
            <w:pPr>
              <w:spacing w:after="40"/>
            </w:pPr>
            <w:r>
              <w:rPr>
                <w:sz w:val="18"/>
                <w:szCs w:val="18"/>
              </w:rPr>
              <w:t xml:space="preserve">Explain why a sukuk AT1 premium resembles the conventional CoCo evidence: Mudarabah structure, discretionary non-payment, and Shari’ah treatment of deferred distributions (Nasr &amp; Hasan, 2024). Explain why it is larger for the new unrated banks: the credit channel, as in Becker et al. Relate the magnitude to the bank’s capital buffer, a determinant Kind et al. identify, which you could collect.</w:t>
            </w:r>
          </w:p>
        </w:tc>
        <w:tc>
          <w:tcPr>
            <w:tcW w:type="dxa" w:w="1445"/>
            <w:tcMar>
              <w:top w:type="dxa" w:w="60"/>
              <w:left w:type="dxa" w:w="90"/>
              <w:bottom w:type="dxa" w:w="60"/>
              <w:right w:type="dxa" w:w="90"/>
            </w:tcMar>
          </w:tcPr>
          <w:p>
            <w:pPr>
              <w:spacing w:after="40"/>
            </w:pPr>
            <w:r>
              <w:rPr>
                <w:sz w:val="18"/>
                <w:szCs w:val="18"/>
              </w:rPr>
              <w:t xml:space="preserve">§5.3, pp. 76–80</w:t>
            </w:r>
          </w:p>
        </w:tc>
      </w:tr>
      <w:tr>
        <w:tc>
          <w:tcPr>
            <w:tcW w:type="dxa" w:w="1446"/>
            <w:tcMar>
              <w:top w:type="dxa" w:w="60"/>
              <w:left w:type="dxa" w:w="90"/>
              <w:bottom w:type="dxa" w:w="60"/>
              <w:right w:type="dxa" w:w="90"/>
            </w:tcMar>
          </w:tcPr>
          <w:p>
            <w:pPr>
              <w:spacing w:after="40"/>
            </w:pPr>
            <w:r>
              <w:rPr>
                <w:sz w:val="18"/>
                <w:szCs w:val="18"/>
              </w:rPr>
              <w:t xml:space="preserve">AT1 call behaviour: Gulf banks call at first date; Albaraka Türk has skipped since 2023 and is priced to perpetuity</w:t>
            </w:r>
          </w:p>
        </w:tc>
        <w:tc>
          <w:tcPr>
            <w:tcW w:type="dxa" w:w="2410"/>
            <w:tcMar>
              <w:top w:type="dxa" w:w="60"/>
              <w:left w:type="dxa" w:w="90"/>
              <w:bottom w:type="dxa" w:w="60"/>
              <w:right w:type="dxa" w:w="90"/>
            </w:tcMar>
          </w:tcPr>
          <w:p>
            <w:pPr>
              <w:spacing w:after="40"/>
            </w:pPr>
            <w:r>
              <w:rPr>
                <w:sz w:val="18"/>
                <w:szCs w:val="18"/>
              </w:rPr>
              <w:t xml:space="preserve">Ivashchenko &amp; Rockinger (2026): about 40 bp price jumps on call/no-call announcements, largest for in-the-money bonds left uncalled.</w:t>
            </w:r>
          </w:p>
        </w:tc>
        <w:tc>
          <w:tcPr>
            <w:tcW w:type="dxa" w:w="1060"/>
            <w:tcMar>
              <w:top w:type="dxa" w:w="60"/>
              <w:left w:type="dxa" w:w="90"/>
              <w:bottom w:type="dxa" w:w="60"/>
              <w:right w:type="dxa" w:w="90"/>
            </w:tcMar>
          </w:tcPr>
          <w:p>
            <w:pPr>
              <w:spacing w:after="40"/>
            </w:pPr>
            <w:r>
              <w:rPr>
                <w:sz w:val="18"/>
                <w:szCs w:val="18"/>
              </w:rPr>
              <w:t xml:space="preserve">Consistent</w:t>
            </w:r>
          </w:p>
        </w:tc>
        <w:tc>
          <w:tcPr>
            <w:tcW w:type="dxa" w:w="3277"/>
            <w:tcMar>
              <w:top w:type="dxa" w:w="60"/>
              <w:left w:type="dxa" w:w="90"/>
              <w:bottom w:type="dxa" w:w="60"/>
              <w:right w:type="dxa" w:w="90"/>
            </w:tcMar>
          </w:tcPr>
          <w:p>
            <w:pPr>
              <w:spacing w:after="40"/>
            </w:pPr>
            <w:r>
              <w:rPr>
                <w:sz w:val="18"/>
                <w:szCs w:val="18"/>
              </w:rPr>
              <w:t xml:space="preserve">This is your best evidence of </w:t>
            </w:r>
            <w:r>
              <w:rPr>
                <w:b/>
                <w:bCs/>
                <w:sz w:val="18"/>
                <w:szCs w:val="18"/>
              </w:rPr>
              <w:t xml:space="preserve">rational pricing</w:t>
            </w:r>
            <w:r>
              <w:rPr>
                <w:sz w:val="18"/>
                <w:szCs w:val="18"/>
              </w:rPr>
              <w:t xml:space="preserve">: evaluations price to call where calls are expected and to perpetuity where they are not. Make it central to §5.6, not a data note in §4.8.</w:t>
            </w:r>
          </w:p>
        </w:tc>
        <w:tc>
          <w:tcPr>
            <w:tcW w:type="dxa" w:w="1445"/>
            <w:tcMar>
              <w:top w:type="dxa" w:w="60"/>
              <w:left w:type="dxa" w:w="90"/>
              <w:bottom w:type="dxa" w:w="60"/>
              <w:right w:type="dxa" w:w="90"/>
            </w:tcMar>
          </w:tcPr>
          <w:p>
            <w:pPr>
              <w:spacing w:after="40"/>
            </w:pPr>
            <w:r>
              <w:rPr>
                <w:sz w:val="18"/>
                <w:szCs w:val="18"/>
              </w:rPr>
              <w:t xml:space="preserve">§4.8, p. 43; §5.6, p. 86</w:t>
            </w:r>
          </w:p>
        </w:tc>
      </w:tr>
      <w:tr>
        <w:tc>
          <w:tcPr>
            <w:tcW w:type="dxa" w:w="1446"/>
            <w:tcMar>
              <w:top w:type="dxa" w:w="60"/>
              <w:left w:type="dxa" w:w="90"/>
              <w:bottom w:type="dxa" w:w="60"/>
              <w:right w:type="dxa" w:w="90"/>
            </w:tcMar>
          </w:tcPr>
          <w:p>
            <w:pPr>
              <w:spacing w:after="40"/>
            </w:pPr>
            <w:r>
              <w:rPr>
                <w:sz w:val="18"/>
                <w:szCs w:val="18"/>
              </w:rPr>
              <w:t xml:space="preserve">Label, window: −16 bp; within-issuer −10 to −16 bp</w:t>
            </w:r>
          </w:p>
        </w:tc>
        <w:tc>
          <w:tcPr>
            <w:tcW w:type="dxa" w:w="2410"/>
            <w:tcMar>
              <w:top w:type="dxa" w:w="60"/>
              <w:left w:type="dxa" w:w="90"/>
              <w:bottom w:type="dxa" w:w="60"/>
              <w:right w:type="dxa" w:w="90"/>
            </w:tcMar>
          </w:tcPr>
          <w:p>
            <w:pPr>
              <w:spacing w:after="40"/>
            </w:pPr>
            <w:r>
              <w:rPr>
                <w:sz w:val="18"/>
                <w:szCs w:val="18"/>
              </w:rPr>
              <w:t xml:space="preserve">Löffler, Petreski &amp; Stephan (2021): greenium of </w:t>
            </w:r>
            <w:r>
              <w:rPr>
                <w:b/>
                <w:bCs/>
                <w:sz w:val="18"/>
                <w:szCs w:val="18"/>
              </w:rPr>
              <w:t xml:space="preserve">15–20 bp</w:t>
            </w:r>
            <w:r>
              <w:rPr>
                <w:sz w:val="18"/>
                <w:szCs w:val="18"/>
              </w:rPr>
              <w:t xml:space="preserve"> in primary and secondary markets (PSM + CEM). Zerbib (2019): about −2 bp. Larcker &amp; Watts (2020): no premium for same-issuer, same-day municipal pairs.</w:t>
            </w:r>
          </w:p>
        </w:tc>
        <w:tc>
          <w:tcPr>
            <w:tcW w:type="dxa" w:w="1060"/>
            <w:tcMar>
              <w:top w:type="dxa" w:w="60"/>
              <w:left w:type="dxa" w:w="90"/>
              <w:bottom w:type="dxa" w:w="60"/>
              <w:right w:type="dxa" w:w="90"/>
            </w:tcMar>
          </w:tcPr>
          <w:p>
            <w:pPr>
              <w:spacing w:after="40"/>
            </w:pPr>
            <w:r>
              <w:rPr>
                <w:sz w:val="18"/>
                <w:szCs w:val="18"/>
              </w:rPr>
              <w:t xml:space="preserve">Magnitude matches Löffler et al.; larger than Zerbib; contrasts with Larcker &amp; Watts</w:t>
            </w:r>
          </w:p>
        </w:tc>
        <w:tc>
          <w:tcPr>
            <w:tcW w:type="dxa" w:w="3277"/>
            <w:tcMar>
              <w:top w:type="dxa" w:w="60"/>
              <w:left w:type="dxa" w:w="90"/>
              <w:bottom w:type="dxa" w:w="60"/>
              <w:right w:type="dxa" w:w="90"/>
            </w:tcMar>
          </w:tcPr>
          <w:p>
            <w:pPr>
              <w:spacing w:after="40"/>
            </w:pPr>
            <w:r>
              <w:rPr>
                <w:sz w:val="18"/>
                <w:szCs w:val="18"/>
              </w:rPr>
              <w:t xml:space="preserve">Your within-issuer design is closest to Larcker &amp; Watts, yet finds a non-zero association. Explain why: sukuk investor clienteles (Shari’ah- and ESG-constrained demand) and sovereign-programme concentration.</w:t>
            </w:r>
          </w:p>
        </w:tc>
        <w:tc>
          <w:tcPr>
            <w:tcW w:type="dxa" w:w="1445"/>
            <w:tcMar>
              <w:top w:type="dxa" w:w="60"/>
              <w:left w:type="dxa" w:w="90"/>
              <w:bottom w:type="dxa" w:w="60"/>
              <w:right w:type="dxa" w:w="90"/>
            </w:tcMar>
          </w:tcPr>
          <w:p>
            <w:pPr>
              <w:spacing w:after="40"/>
            </w:pPr>
            <w:r>
              <w:rPr>
                <w:sz w:val="18"/>
                <w:szCs w:val="18"/>
              </w:rPr>
              <w:t xml:space="preserve">§5.4, pp. 80–85</w:t>
            </w:r>
          </w:p>
        </w:tc>
      </w:tr>
      <w:tr>
        <w:tc>
          <w:tcPr>
            <w:tcW w:type="dxa" w:w="1446"/>
            <w:tcMar>
              <w:top w:type="dxa" w:w="60"/>
              <w:left w:type="dxa" w:w="90"/>
              <w:bottom w:type="dxa" w:w="60"/>
              <w:right w:type="dxa" w:w="90"/>
            </w:tcMar>
          </w:tcPr>
          <w:p>
            <w:pPr>
              <w:spacing w:after="40"/>
            </w:pPr>
            <w:r>
              <w:rPr>
                <w:sz w:val="18"/>
                <w:szCs w:val="18"/>
              </w:rPr>
              <w:t xml:space="preserve">Label, full horizon: +18 bp (2025 BB-rated developer vintage)</w:t>
            </w:r>
          </w:p>
        </w:tc>
        <w:tc>
          <w:tcPr>
            <w:tcW w:type="dxa" w:w="2410"/>
            <w:tcMar>
              <w:top w:type="dxa" w:w="60"/>
              <w:left w:type="dxa" w:w="90"/>
              <w:bottom w:type="dxa" w:w="60"/>
              <w:right w:type="dxa" w:w="90"/>
            </w:tcMar>
          </w:tcPr>
          <w:p>
            <w:pPr>
              <w:spacing w:after="40"/>
            </w:pPr>
            <w:r>
              <w:rPr>
                <w:sz w:val="18"/>
                <w:szCs w:val="18"/>
              </w:rPr>
              <w:t xml:space="preserve">Bachelet et al. (2019): private, non-verified issuers carry a </w:t>
            </w:r>
            <w:r>
              <w:rPr>
                <w:b/>
                <w:bCs/>
                <w:sz w:val="18"/>
                <w:szCs w:val="18"/>
              </w:rPr>
              <w:t xml:space="preserve">positive</w:t>
            </w:r>
            <w:r>
              <w:rPr>
                <w:sz w:val="18"/>
                <w:szCs w:val="18"/>
              </w:rPr>
              <w:t xml:space="preserve"> premium. Fatica et al. (2021): greenium for supranationals and corporates, </w:t>
            </w:r>
            <w:r>
              <w:rPr>
                <w:b/>
                <w:bCs/>
                <w:sz w:val="18"/>
                <w:szCs w:val="18"/>
              </w:rPr>
              <w:t xml:space="preserve">none for financial institutions</w:t>
            </w:r>
            <w:r>
              <w:rPr>
                <w:sz w:val="18"/>
                <w:szCs w:val="18"/>
              </w:rPr>
              <w:t xml:space="preserve">, and an effect of external review. Dorfleitner et al. (2021): premium rises with external review.</w:t>
            </w:r>
          </w:p>
        </w:tc>
        <w:tc>
          <w:tcPr>
            <w:tcW w:type="dxa" w:w="1060"/>
            <w:tcMar>
              <w:top w:type="dxa" w:w="60"/>
              <w:left w:type="dxa" w:w="90"/>
              <w:bottom w:type="dxa" w:w="60"/>
              <w:right w:type="dxa" w:w="90"/>
            </w:tcMar>
          </w:tcPr>
          <w:p>
            <w:pPr>
              <w:spacing w:after="40"/>
            </w:pPr>
            <w:r>
              <w:rPr>
                <w:sz w:val="18"/>
                <w:szCs w:val="18"/>
              </w:rPr>
              <w:t xml:space="preserve">Consistent</w:t>
            </w:r>
          </w:p>
        </w:tc>
        <w:tc>
          <w:tcPr>
            <w:tcW w:type="dxa" w:w="3277"/>
            <w:tcMar>
              <w:top w:type="dxa" w:w="60"/>
              <w:left w:type="dxa" w:w="90"/>
              <w:bottom w:type="dxa" w:w="60"/>
              <w:right w:type="dxa" w:w="90"/>
            </w:tcMar>
          </w:tcPr>
          <w:p>
            <w:pPr>
              <w:spacing w:after="40"/>
            </w:pPr>
            <w:r>
              <w:rPr>
                <w:sz w:val="18"/>
                <w:szCs w:val="18"/>
              </w:rPr>
              <w:t xml:space="preserve">The sign flip is a composition effect that theory predicts: weak-credit, lightly verified issuers show no greenium. Frame it as evidence on </w:t>
            </w:r>
            <w:r>
              <w:rPr>
                <w:b/>
                <w:bCs/>
                <w:sz w:val="18"/>
                <w:szCs w:val="18"/>
              </w:rPr>
              <w:t xml:space="preserve">who</w:t>
            </w:r>
            <w:r>
              <w:rPr>
                <w:sz w:val="18"/>
                <w:szCs w:val="18"/>
              </w:rPr>
              <w:t xml:space="preserve"> earns a greenium. Link to your verification split (§4.7, pp. 40–41).</w:t>
            </w:r>
          </w:p>
        </w:tc>
        <w:tc>
          <w:tcPr>
            <w:tcW w:type="dxa" w:w="1445"/>
            <w:tcMar>
              <w:top w:type="dxa" w:w="60"/>
              <w:left w:type="dxa" w:w="90"/>
              <w:bottom w:type="dxa" w:w="60"/>
              <w:right w:type="dxa" w:w="90"/>
            </w:tcMar>
          </w:tcPr>
          <w:p>
            <w:pPr>
              <w:spacing w:after="40"/>
            </w:pPr>
            <w:r>
              <w:rPr>
                <w:sz w:val="18"/>
                <w:szCs w:val="18"/>
              </w:rPr>
              <w:t xml:space="preserve">§4.5, p. 33; §5.4, p. 80</w:t>
            </w:r>
          </w:p>
        </w:tc>
      </w:tr>
      <w:tr>
        <w:tc>
          <w:tcPr>
            <w:tcW w:type="dxa" w:w="1446"/>
            <w:tcMar>
              <w:top w:type="dxa" w:w="60"/>
              <w:left w:type="dxa" w:w="90"/>
              <w:bottom w:type="dxa" w:w="60"/>
              <w:right w:type="dxa" w:w="90"/>
            </w:tcMar>
          </w:tcPr>
          <w:p>
            <w:pPr>
              <w:spacing w:after="40"/>
            </w:pPr>
            <w:r>
              <w:rPr>
                <w:sz w:val="18"/>
                <w:szCs w:val="18"/>
              </w:rPr>
              <w:t xml:space="preserve">Label result concentrated in Indonesian sovereign green sukuk</w:t>
            </w:r>
          </w:p>
        </w:tc>
        <w:tc>
          <w:tcPr>
            <w:tcW w:type="dxa" w:w="2410"/>
            <w:tcMar>
              <w:top w:type="dxa" w:w="60"/>
              <w:left w:type="dxa" w:w="90"/>
              <w:bottom w:type="dxa" w:w="60"/>
              <w:right w:type="dxa" w:w="90"/>
            </w:tcMar>
          </w:tcPr>
          <w:p>
            <w:pPr>
              <w:spacing w:after="40"/>
            </w:pPr>
            <w:r>
              <w:rPr>
                <w:sz w:val="18"/>
                <w:szCs w:val="18"/>
              </w:rPr>
              <w:t xml:space="preserve">Latif, Husodo &amp; Hendranastiti (2026, SSRN working paper, not peer-reviewed): greenium of about 50 bp globally and 80–150 bp for Indonesian issuance (pooled OLS, issue level). Pirgaip &amp; Arslan-Ayaydin (2024): primary-market greenium in green sukuk (PSM, 2017–2022).</w:t>
            </w:r>
          </w:p>
        </w:tc>
        <w:tc>
          <w:tcPr>
            <w:tcW w:type="dxa" w:w="1060"/>
            <w:tcMar>
              <w:top w:type="dxa" w:w="60"/>
              <w:left w:type="dxa" w:w="90"/>
              <w:bottom w:type="dxa" w:w="60"/>
              <w:right w:type="dxa" w:w="90"/>
            </w:tcMar>
          </w:tcPr>
          <w:p>
            <w:pPr>
              <w:spacing w:after="40"/>
            </w:pPr>
            <w:r>
              <w:rPr>
                <w:sz w:val="18"/>
                <w:szCs w:val="18"/>
              </w:rPr>
              <w:t xml:space="preserve">Consistent in direction</w:t>
            </w:r>
          </w:p>
        </w:tc>
        <w:tc>
          <w:tcPr>
            <w:tcW w:type="dxa" w:w="3277"/>
            <w:tcMar>
              <w:top w:type="dxa" w:w="60"/>
              <w:left w:type="dxa" w:w="90"/>
              <w:bottom w:type="dxa" w:w="60"/>
              <w:right w:type="dxa" w:w="90"/>
            </w:tcMar>
          </w:tcPr>
          <w:p>
            <w:pPr>
              <w:spacing w:after="40"/>
            </w:pPr>
            <w:r>
              <w:rPr>
                <w:sz w:val="18"/>
                <w:szCs w:val="18"/>
              </w:rPr>
              <w:t xml:space="preserve">Treat the concentration as a </w:t>
            </w:r>
            <w:r>
              <w:rPr>
                <w:b/>
                <w:bCs/>
                <w:sz w:val="18"/>
                <w:szCs w:val="18"/>
              </w:rPr>
              <w:t xml:space="preserve">finding</w:t>
            </w:r>
            <w:r>
              <w:rPr>
                <w:sz w:val="18"/>
                <w:szCs w:val="18"/>
              </w:rPr>
              <w:t xml:space="preserve"> (an established sovereign programme, repeat issuance, dedicated investors), not only as a threat. Note that the cited SSRN evidence is primary-market and not yet peer-reviewed.</w:t>
            </w:r>
          </w:p>
        </w:tc>
        <w:tc>
          <w:tcPr>
            <w:tcW w:type="dxa" w:w="1445"/>
            <w:tcMar>
              <w:top w:type="dxa" w:w="60"/>
              <w:left w:type="dxa" w:w="90"/>
              <w:bottom w:type="dxa" w:w="60"/>
              <w:right w:type="dxa" w:w="90"/>
            </w:tcMar>
          </w:tcPr>
          <w:p>
            <w:pPr>
              <w:spacing w:after="40"/>
            </w:pPr>
            <w:r>
              <w:rPr>
                <w:sz w:val="18"/>
                <w:szCs w:val="18"/>
              </w:rPr>
              <w:t xml:space="preserve">§4.5, p. 33; §5.4, p. 83</w:t>
            </w:r>
          </w:p>
        </w:tc>
      </w:tr>
      <w:tr>
        <w:tc>
          <w:tcPr>
            <w:tcW w:type="dxa" w:w="1446"/>
            <w:tcMar>
              <w:top w:type="dxa" w:w="60"/>
              <w:left w:type="dxa" w:w="90"/>
              <w:bottom w:type="dxa" w:w="60"/>
              <w:right w:type="dxa" w:w="90"/>
            </w:tcMar>
          </w:tcPr>
          <w:p>
            <w:pPr>
              <w:spacing w:after="40"/>
            </w:pPr>
            <w:r>
              <w:rPr>
                <w:sz w:val="18"/>
                <w:szCs w:val="18"/>
              </w:rPr>
              <w:t xml:space="preserve">Controls are often sovereign sukuk</w:t>
            </w:r>
          </w:p>
        </w:tc>
        <w:tc>
          <w:tcPr>
            <w:tcW w:type="dxa" w:w="2410"/>
            <w:tcMar>
              <w:top w:type="dxa" w:w="60"/>
              <w:left w:type="dxa" w:w="90"/>
              <w:bottom w:type="dxa" w:w="60"/>
              <w:right w:type="dxa" w:w="90"/>
            </w:tcMar>
          </w:tcPr>
          <w:p>
            <w:pPr>
              <w:spacing w:after="40"/>
            </w:pPr>
            <w:r>
              <w:rPr>
                <w:sz w:val="18"/>
                <w:szCs w:val="18"/>
              </w:rPr>
              <w:t xml:space="preserve">Ariff et al. (2017): sovereign sukuk yield </w:t>
            </w:r>
            <w:r>
              <w:rPr>
                <w:b/>
                <w:bCs/>
                <w:sz w:val="18"/>
                <w:szCs w:val="18"/>
              </w:rPr>
              <w:t xml:space="preserve">more</w:t>
            </w:r>
            <w:r>
              <w:rPr>
                <w:sz w:val="18"/>
                <w:szCs w:val="18"/>
              </w:rPr>
              <w:t xml:space="preserve"> than conventional treasuries, while corporate sukuk yield slightly less. Asmuni &amp; Tan (2020): a liquidity factor mainly explains the sovereign sukuk premium in Malaysia.</w:t>
            </w:r>
          </w:p>
        </w:tc>
        <w:tc>
          <w:tcPr>
            <w:tcW w:type="dxa" w:w="1060"/>
            <w:tcMar>
              <w:top w:type="dxa" w:w="60"/>
              <w:left w:type="dxa" w:w="90"/>
              <w:bottom w:type="dxa" w:w="60"/>
              <w:right w:type="dxa" w:w="90"/>
            </w:tcMar>
          </w:tcPr>
          <w:p>
            <w:pPr>
              <w:spacing w:after="40"/>
            </w:pPr>
            <w:r>
              <w:rPr>
                <w:sz w:val="18"/>
                <w:szCs w:val="18"/>
              </w:rPr>
              <w:t xml:space="preserve">Relevant, not yet discussed</w:t>
            </w:r>
          </w:p>
        </w:tc>
        <w:tc>
          <w:tcPr>
            <w:tcW w:type="dxa" w:w="3277"/>
            <w:tcMar>
              <w:top w:type="dxa" w:w="60"/>
              <w:left w:type="dxa" w:w="90"/>
              <w:bottom w:type="dxa" w:w="60"/>
              <w:right w:type="dxa" w:w="90"/>
            </w:tcMar>
          </w:tcPr>
          <w:p>
            <w:pPr>
              <w:spacing w:after="40"/>
            </w:pPr>
            <w:r>
              <w:rPr>
                <w:sz w:val="18"/>
                <w:szCs w:val="18"/>
              </w:rPr>
              <w:t xml:space="preserve">Sovereign-sukuk controls may carry their own liquidity premium. That biases the differential towards zero for labelled pairs and changes the benchmark for AT1 pairs. Discuss it, and test it through the determinants model.</w:t>
            </w:r>
          </w:p>
        </w:tc>
        <w:tc>
          <w:tcPr>
            <w:tcW w:type="dxa" w:w="1445"/>
            <w:tcMar>
              <w:top w:type="dxa" w:w="60"/>
              <w:left w:type="dxa" w:w="90"/>
              <w:bottom w:type="dxa" w:w="60"/>
              <w:right w:type="dxa" w:w="90"/>
            </w:tcMar>
          </w:tcPr>
          <w:p>
            <w:pPr>
              <w:spacing w:after="40"/>
            </w:pPr>
            <w:r>
              <w:rPr>
                <w:sz w:val="18"/>
                <w:szCs w:val="18"/>
              </w:rPr>
              <w:t xml:space="preserve">not discussed</w:t>
            </w:r>
          </w:p>
        </w:tc>
      </w:tr>
    </w:tbl>
    <w:p>
      <w:pPr>
        <w:spacing w:after="60"/>
      </w:pPr>
    </w:p>
    <w:p>
      <w:pPr>
        <w:pStyle w:val="Heading2"/>
        <w:spacing w:after="120" w:before="240"/>
      </w:pPr>
      <w:r>
        <w:t xml:space="preserve">5.3 Implications</w:t>
      </w:r>
    </w:p>
    <w:p>
      <w:pPr>
        <w:spacing w:after="120" w:line="276"/>
      </w:pPr>
      <w:r>
        <w:t xml:space="preserve">§5.10 (pp. 90–92) makes implications generic (“issuer-specific dispersion is more important than a class average”). Tie each implication to a finding and a magnitude:</w:t>
      </w:r>
    </w:p>
    <w:p>
      <w:pPr>
        <w:pStyle w:val="ListParagraph"/>
        <w:numPr>
          <w:ilvl w:val="0"/>
          <w:numId w:val="2"/>
        </w:numPr>
        <w:spacing w:after="80" w:line="264"/>
      </w:pPr>
      <w:r>
        <w:rPr>
          <w:b/>
          <w:bCs/>
        </w:rPr>
        <w:t xml:space="preserve">Issuers (banks).</w:t>
      </w:r>
      <w:r>
        <w:t xml:space="preserve"> A differential of about 100 bp on a USD 500 million AT1 sukuk is roughly USD 5 million a year of additional distribution cost against senior funding. Weigh that against the capital relief. Call behaviour is visibly priced (the Albaraka Türk case), so call policy is a funding-cost decision, not only a regulatory one.</w:t>
      </w:r>
    </w:p>
    <w:p>
      <w:pPr>
        <w:pStyle w:val="ListParagraph"/>
        <w:numPr>
          <w:ilvl w:val="0"/>
          <w:numId w:val="2"/>
        </w:numPr>
        <w:spacing w:after="80" w:line="264"/>
      </w:pPr>
      <w:r>
        <w:rPr>
          <w:b/>
          <w:bCs/>
        </w:rPr>
        <w:t xml:space="preserve">Issuers (labels).</w:t>
      </w:r>
      <w:r>
        <w:t xml:space="preserve"> There is no evidence of a market-wide greenium in the USD secondary market. A greenium appears where programme credibility and repeat issuance exist, as in the Indonesian sovereign programme. Implication: invest in verification and programme continuity, not the label alone. Link this to Fatica et al. (2021) and Dorfleitner et al. (2021).</w:t>
      </w:r>
    </w:p>
    <w:p>
      <w:pPr>
        <w:pStyle w:val="ListParagraph"/>
        <w:numPr>
          <w:ilvl w:val="0"/>
          <w:numId w:val="2"/>
        </w:numPr>
        <w:spacing w:after="80" w:line="264"/>
      </w:pPr>
      <w:r>
        <w:rPr>
          <w:b/>
          <w:bCs/>
        </w:rPr>
        <w:t xml:space="preserve">Investors.</w:t>
      </w:r>
      <w:r>
        <w:t xml:space="preserve"> Evaluated-yield dispersion across matched pairs is several hundred basis points. Pricing is issuer-specific, and the class averages are not tradeable signals.</w:t>
      </w:r>
    </w:p>
    <w:p>
      <w:pPr>
        <w:pStyle w:val="ListParagraph"/>
        <w:numPr>
          <w:ilvl w:val="0"/>
          <w:numId w:val="2"/>
        </w:numPr>
        <w:spacing w:after="80" w:line="264"/>
      </w:pPr>
      <w:r>
        <w:rPr>
          <w:b/>
          <w:bCs/>
        </w:rPr>
        <w:t xml:space="preserve">Regulators and standard setters.</w:t>
      </w:r>
      <w:r>
        <w:t xml:space="preserve"> There are three evidence-based asks: (i) disclosure of evaluator workout conventions for perpetuals; (ii) instrument-level ratings or standard notching disclosure for AT1 sukuk; (iii) an identifiable label taxonomy and verification field. Each maps to a specific limitation you met (pp. 91–92).</w:t>
      </w:r>
    </w:p>
    <w:p>
      <w:pPr>
        <w:pStyle w:val="ListParagraph"/>
        <w:numPr>
          <w:ilvl w:val="0"/>
          <w:numId w:val="2"/>
        </w:numPr>
        <w:spacing w:after="80" w:line="264"/>
      </w:pPr>
      <w:r>
        <w:rPr>
          <w:b/>
          <w:bCs/>
        </w:rPr>
        <w:t xml:space="preserve">Theory.</w:t>
      </w:r>
      <w:r>
        <w:t xml:space="preserve"> State explicitly which theories the evidence supports: contingent-claim and subordination pricing for AT1; low option value, not mispricing, for callables; preference and clientele theories (Fama &amp; French, 2007; Pástor et al., 2021) for concentrated labels. State which the design cannot adjudicate (informational efficiency; Fama, 1970).</w:t>
      </w:r>
    </w:p>
    <w:p>
      <w:pPr>
        <w:pStyle w:val="Heading1"/>
        <w:spacing w:after="160" w:before="360"/>
      </w:pPr>
      <w:r>
        <w:t xml:space="preserve">6. Conclusion (§5.12, pp. 93–95)</w:t>
      </w:r>
    </w:p>
    <w:p>
      <w:pPr>
        <w:spacing w:after="120" w:line="276"/>
      </w:pPr>
      <w:r>
        <w:t xml:space="preserve">The conclusion states each hypothesis result in plain language and correctly describes AT1 as a bundled structure. That is its strength. It needs the following additions and corrections:</w:t>
      </w:r>
    </w:p>
    <w:p>
      <w:pPr>
        <w:pStyle w:val="ListParagraph"/>
        <w:numPr>
          <w:ilvl w:val="0"/>
          <w:numId w:val="2"/>
        </w:numPr>
        <w:spacing w:after="80" w:line="264"/>
      </w:pPr>
      <w:r>
        <w:rPr>
          <w:b/>
          <w:bCs/>
        </w:rPr>
        <w:t xml:space="preserve">[Major] It does not answer the title question.</w:t>
      </w:r>
      <w:r>
        <w:t xml:space="preserve"> Does the market “rationally price” these features? Give a direct, qualified answer. For example: directionally consistent pricing for AT1 and call behaviour; no evidence of mispricing for callables; label pricing that is conditional and not market-wide.</w:t>
      </w:r>
    </w:p>
    <w:p>
      <w:pPr>
        <w:pStyle w:val="ListParagraph"/>
        <w:numPr>
          <w:ilvl w:val="0"/>
          <w:numId w:val="2"/>
        </w:numPr>
        <w:spacing w:after="80" w:line="264"/>
      </w:pPr>
      <w:r>
        <w:rPr>
          <w:b/>
          <w:bCs/>
        </w:rPr>
        <w:t xml:space="preserve">[Major] Objective (b) is absent.</w:t>
      </w:r>
      <w:r>
        <w:t xml:space="preserve"> There is no statement of what determines the differences. After the determinants chapter is added, it should be the second main paragraph.</w:t>
      </w:r>
    </w:p>
    <w:p>
      <w:pPr>
        <w:pStyle w:val="ListParagraph"/>
        <w:numPr>
          <w:ilvl w:val="0"/>
          <w:numId w:val="2"/>
        </w:numPr>
        <w:spacing w:after="80" w:line="264"/>
      </w:pPr>
      <w:r>
        <w:rPr>
          <w:b/>
          <w:bCs/>
        </w:rPr>
        <w:t xml:space="preserve">[Major] Contributions, limitations and future research are missing.</w:t>
      </w:r>
      <w:r>
        <w:t xml:space="preserve"> Chapter 3 promises the future research in §5.12 (pp. 11, 18), but it is not there. Suggested items: event studies around March 2023 and around call decisions; issuer-rating-based matching; AT1 sukuk vs the same bank’s conventional AT1; ringgit green sukuk using Bond Pricing Agency Malaysia evaluated prices, to address the 90.5% MYR universe excluded (p. 19); option-adjusted valuation.</w:t>
      </w:r>
    </w:p>
    <w:p>
      <w:pPr>
        <w:pStyle w:val="ListParagraph"/>
        <w:numPr>
          <w:ilvl w:val="0"/>
          <w:numId w:val="2"/>
        </w:numPr>
        <w:spacing w:after="80" w:line="264"/>
      </w:pPr>
      <w:r>
        <w:rPr>
          <w:b/>
          <w:bCs/>
        </w:rPr>
        <w:t xml:space="preserve">[Minor] Accuracy.</w:t>
      </w:r>
      <w:r>
        <w:t xml:space="preserve"> “US dollar Gulf bank segment” (p. 94) should become “US-dollar GCC and Turkish bank segment”, or report the result excluding Turkey. “The study was not designed to make that causal claim” (p. 95) confuses efficiency with causality.</w:t>
      </w:r>
    </w:p>
    <w:p>
      <w:pPr>
        <w:pStyle w:val="ListParagraph"/>
        <w:numPr>
          <w:ilvl w:val="0"/>
          <w:numId w:val="2"/>
        </w:numPr>
        <w:spacing w:after="80" w:line="264"/>
      </w:pPr>
      <w:r>
        <w:rPr>
          <w:b/>
          <w:bCs/>
        </w:rPr>
        <w:t xml:space="preserve">[Minor] Style.</w:t>
      </w:r>
      <w:r>
        <w:t xml:space="preserve"> The paragraph on the benchmark history (p. 95) is process narrative; cut it. The section uses a different paragraph style from the rest of the chapter (“NormalWeb”), which suggests it was pasted in.</w:t>
      </w:r>
    </w:p>
    <w:p>
      <w:pPr>
        <w:pStyle w:val="Heading1"/>
        <w:spacing w:after="160" w:before="360"/>
      </w:pPr>
      <w:r>
        <w:t xml:space="preserve">7. Novelty, contribution, applicability, rigour and scientific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4819"/>
        <w:gridCol w:w="3373"/>
      </w:tblGrid>
      <w:tr>
        <w:trPr>
          <w:tblHeader/>
        </w:trPr>
        <w:tc>
          <w:tcPr>
            <w:tcW w:type="dxa" w:w="1446"/>
            <w:shd w:fill="1F3864" w:color="auto" w:val="clear"/>
            <w:tcMar>
              <w:top w:type="dxa" w:w="60"/>
              <w:left w:type="dxa" w:w="90"/>
              <w:bottom w:type="dxa" w:w="60"/>
              <w:right w:type="dxa" w:w="90"/>
            </w:tcMar>
          </w:tcPr>
          <w:p>
            <w:pPr>
              <w:spacing w:after="40"/>
            </w:pPr>
            <w:r>
              <w:rPr>
                <w:b/>
                <w:bCs/>
                <w:color w:val="FFFFFF"/>
                <w:sz w:val="18"/>
                <w:szCs w:val="18"/>
              </w:rPr>
              <w:t xml:space="preserve">Criterion</w:t>
            </w:r>
          </w:p>
        </w:tc>
        <w:tc>
          <w:tcPr>
            <w:tcW w:type="dxa" w:w="4819"/>
            <w:shd w:fill="1F3864" w:color="auto" w:val="clear"/>
            <w:tcMar>
              <w:top w:type="dxa" w:w="60"/>
              <w:left w:type="dxa" w:w="90"/>
              <w:bottom w:type="dxa" w:w="60"/>
              <w:right w:type="dxa" w:w="90"/>
            </w:tcMar>
          </w:tcPr>
          <w:p>
            <w:pPr>
              <w:spacing w:after="40"/>
            </w:pPr>
            <w:r>
              <w:rPr>
                <w:b/>
                <w:bCs/>
                <w:color w:val="FFFFFF"/>
                <w:sz w:val="18"/>
                <w:szCs w:val="18"/>
              </w:rPr>
              <w:t xml:space="preserve">Assessment</w:t>
            </w:r>
          </w:p>
        </w:tc>
        <w:tc>
          <w:tcPr>
            <w:tcW w:type="dxa" w:w="3373"/>
            <w:shd w:fill="1F3864" w:color="auto" w:val="clear"/>
            <w:tcMar>
              <w:top w:type="dxa" w:w="60"/>
              <w:left w:type="dxa" w:w="90"/>
              <w:bottom w:type="dxa" w:w="60"/>
              <w:right w:type="dxa" w:w="90"/>
            </w:tcMar>
          </w:tcPr>
          <w:p>
            <w:pPr>
              <w:spacing w:after="40"/>
            </w:pPr>
            <w:r>
              <w:rPr>
                <w:b/>
                <w:bCs/>
                <w:color w:val="FFFFFF"/>
                <w:sz w:val="18"/>
                <w:szCs w:val="18"/>
              </w:rPr>
              <w:t xml:space="preserve">What would raise it</w:t>
            </w:r>
          </w:p>
        </w:tc>
      </w:tr>
      <w:tr>
        <w:tc>
          <w:tcPr>
            <w:tcW w:type="dxa" w:w="1446"/>
            <w:tcMar>
              <w:top w:type="dxa" w:w="60"/>
              <w:left w:type="dxa" w:w="90"/>
              <w:bottom w:type="dxa" w:w="60"/>
              <w:right w:type="dxa" w:w="90"/>
            </w:tcMar>
          </w:tcPr>
          <w:p>
            <w:pPr>
              <w:spacing w:after="40"/>
            </w:pPr>
            <w:r>
              <w:rPr>
                <w:sz w:val="18"/>
                <w:szCs w:val="18"/>
              </w:rPr>
              <w:t xml:space="preserve">Novelty</w:t>
            </w:r>
          </w:p>
        </w:tc>
        <w:tc>
          <w:tcPr>
            <w:tcW w:type="dxa" w:w="4819"/>
            <w:tcMar>
              <w:top w:type="dxa" w:w="60"/>
              <w:left w:type="dxa" w:w="90"/>
              <w:bottom w:type="dxa" w:w="60"/>
              <w:right w:type="dxa" w:w="90"/>
            </w:tcMar>
          </w:tcPr>
          <w:p>
            <w:pPr>
              <w:spacing w:after="40"/>
            </w:pPr>
            <w:r>
              <w:rPr>
                <w:sz w:val="18"/>
                <w:szCs w:val="18"/>
              </w:rPr>
              <w:t xml:space="preserve">Good. Alkadi (2024) identifies green sukuk pricing as under-researched, with only four quantitative empirical studies among 62 reviewed. Secondary-market matched evidence on callable and AT1 sukuk appears new.</w:t>
            </w:r>
          </w:p>
        </w:tc>
        <w:tc>
          <w:tcPr>
            <w:tcW w:type="dxa" w:w="3373"/>
            <w:tcMar>
              <w:top w:type="dxa" w:w="60"/>
              <w:left w:type="dxa" w:w="90"/>
              <w:bottom w:type="dxa" w:w="60"/>
              <w:right w:type="dxa" w:w="90"/>
            </w:tcMar>
          </w:tcPr>
          <w:p>
            <w:pPr>
              <w:spacing w:after="40"/>
            </w:pPr>
            <w:r>
              <w:rPr>
                <w:sz w:val="18"/>
                <w:szCs w:val="18"/>
              </w:rPr>
              <w:t xml:space="preserve">Position the novelty explicitly against Alkadi (2024) and Pirgaip &amp; Arslan-Ayaydin (2024).</w:t>
            </w:r>
          </w:p>
        </w:tc>
      </w:tr>
      <w:tr>
        <w:tc>
          <w:tcPr>
            <w:tcW w:type="dxa" w:w="1446"/>
            <w:tcMar>
              <w:top w:type="dxa" w:w="60"/>
              <w:left w:type="dxa" w:w="90"/>
              <w:bottom w:type="dxa" w:w="60"/>
              <w:right w:type="dxa" w:w="90"/>
            </w:tcMar>
          </w:tcPr>
          <w:p>
            <w:pPr>
              <w:spacing w:after="40"/>
            </w:pPr>
            <w:r>
              <w:rPr>
                <w:sz w:val="18"/>
                <w:szCs w:val="18"/>
              </w:rPr>
              <w:t xml:space="preserve">Contribution</w:t>
            </w:r>
          </w:p>
        </w:tc>
        <w:tc>
          <w:tcPr>
            <w:tcW w:type="dxa" w:w="4819"/>
            <w:tcMar>
              <w:top w:type="dxa" w:w="60"/>
              <w:left w:type="dxa" w:w="90"/>
              <w:bottom w:type="dxa" w:w="60"/>
              <w:right w:type="dxa" w:w="90"/>
            </w:tcMar>
          </w:tcPr>
          <w:p>
            <w:pPr>
              <w:spacing w:after="40"/>
            </w:pPr>
            <w:r>
              <w:rPr>
                <w:sz w:val="18"/>
                <w:szCs w:val="18"/>
              </w:rPr>
              <w:t xml:space="preserve">Empirical: an AT1 sukuk differential of about 100 bp from two designs; a call-structure census; evidence on who earns a greenium. The methodological claim (§5.9, pp. 89–90) is overstated: the weighting-vs-clustering point is established (Solon, Haider &amp; Wooldridge, 2015; Abadie, Athey, Imbens &amp; Wooldridge, 2023).</w:t>
            </w:r>
          </w:p>
        </w:tc>
        <w:tc>
          <w:tcPr>
            <w:tcW w:type="dxa" w:w="3373"/>
            <w:tcMar>
              <w:top w:type="dxa" w:w="60"/>
              <w:left w:type="dxa" w:w="90"/>
              <w:bottom w:type="dxa" w:w="60"/>
              <w:right w:type="dxa" w:w="90"/>
            </w:tcMar>
          </w:tcPr>
          <w:p>
            <w:pPr>
              <w:spacing w:after="40"/>
            </w:pPr>
            <w:r>
              <w:rPr>
                <w:sz w:val="18"/>
                <w:szCs w:val="18"/>
              </w:rPr>
              <w:t xml:space="preserve">Present the method as careful application, cite these works, and put the contribution in the determinants evidence.</w:t>
            </w:r>
          </w:p>
        </w:tc>
      </w:tr>
      <w:tr>
        <w:tc>
          <w:tcPr>
            <w:tcW w:type="dxa" w:w="1446"/>
            <w:tcMar>
              <w:top w:type="dxa" w:w="60"/>
              <w:left w:type="dxa" w:w="90"/>
              <w:bottom w:type="dxa" w:w="60"/>
              <w:right w:type="dxa" w:w="90"/>
            </w:tcMar>
          </w:tcPr>
          <w:p>
            <w:pPr>
              <w:spacing w:after="40"/>
            </w:pPr>
            <w:r>
              <w:rPr>
                <w:sz w:val="18"/>
                <w:szCs w:val="18"/>
              </w:rPr>
              <w:t xml:space="preserve">Applicability</w:t>
            </w:r>
          </w:p>
        </w:tc>
        <w:tc>
          <w:tcPr>
            <w:tcW w:type="dxa" w:w="4819"/>
            <w:tcMar>
              <w:top w:type="dxa" w:w="60"/>
              <w:left w:type="dxa" w:w="90"/>
              <w:bottom w:type="dxa" w:w="60"/>
              <w:right w:type="dxa" w:w="90"/>
            </w:tcMar>
          </w:tcPr>
          <w:p>
            <w:pPr>
              <w:spacing w:after="40"/>
            </w:pPr>
            <w:r>
              <w:rPr>
                <w:sz w:val="18"/>
                <w:szCs w:val="18"/>
              </w:rPr>
              <w:t xml:space="preserve">Narrow: US-dollar, large, rated, mostly GCC issues; evaluated rather than traded prices; 4.4% of the labelled universe (p. 52).</w:t>
            </w:r>
          </w:p>
        </w:tc>
        <w:tc>
          <w:tcPr>
            <w:tcW w:type="dxa" w:w="3373"/>
            <w:tcMar>
              <w:top w:type="dxa" w:w="60"/>
              <w:left w:type="dxa" w:w="90"/>
              <w:bottom w:type="dxa" w:w="60"/>
              <w:right w:type="dxa" w:w="90"/>
            </w:tcMar>
          </w:tcPr>
          <w:p>
            <w:pPr>
              <w:spacing w:after="40"/>
            </w:pPr>
            <w:r>
              <w:rPr>
                <w:sz w:val="18"/>
                <w:szCs w:val="18"/>
              </w:rPr>
              <w:t xml:space="preserve">Retitle (drop “Cross-Regional … GCC and ASEAN”). State the segment in the abstract and conclusion.</w:t>
            </w:r>
          </w:p>
        </w:tc>
      </w:tr>
      <w:tr>
        <w:tc>
          <w:tcPr>
            <w:tcW w:type="dxa" w:w="1446"/>
            <w:tcMar>
              <w:top w:type="dxa" w:w="60"/>
              <w:left w:type="dxa" w:w="90"/>
              <w:bottom w:type="dxa" w:w="60"/>
              <w:right w:type="dxa" w:w="90"/>
            </w:tcMar>
          </w:tcPr>
          <w:p>
            <w:pPr>
              <w:spacing w:after="40"/>
            </w:pPr>
            <w:r>
              <w:rPr>
                <w:sz w:val="18"/>
                <w:szCs w:val="18"/>
              </w:rPr>
              <w:t xml:space="preserve">Rigour</w:t>
            </w:r>
          </w:p>
        </w:tc>
        <w:tc>
          <w:tcPr>
            <w:tcW w:type="dxa" w:w="4819"/>
            <w:tcMar>
              <w:top w:type="dxa" w:w="60"/>
              <w:left w:type="dxa" w:w="90"/>
              <w:bottom w:type="dxa" w:w="60"/>
              <w:right w:type="dxa" w:w="90"/>
            </w:tcMar>
          </w:tcPr>
          <w:p>
            <w:pPr>
              <w:spacing w:after="40"/>
            </w:pPr>
            <w:r>
              <w:rPr>
                <w:sz w:val="18"/>
                <w:szCs w:val="18"/>
              </w:rPr>
              <w:t xml:space="preserve">High in inference and transparency. Undermined by post-hoc flexibility (M-1), credit confounding (M-2), unreconciled outcome measures (M-3) and internal inconsistencies (Section 4.2).</w:t>
            </w:r>
          </w:p>
        </w:tc>
        <w:tc>
          <w:tcPr>
            <w:tcW w:type="dxa" w:w="3373"/>
            <w:tcMar>
              <w:top w:type="dxa" w:w="60"/>
              <w:left w:type="dxa" w:w="90"/>
              <w:bottom w:type="dxa" w:w="60"/>
              <w:right w:type="dxa" w:w="90"/>
            </w:tcMar>
          </w:tcPr>
          <w:p>
            <w:pPr>
              <w:spacing w:after="40"/>
            </w:pPr>
            <w:r>
              <w:rPr>
                <w:sz w:val="18"/>
                <w:szCs w:val="18"/>
              </w:rPr>
              <w:t xml:space="preserve">Resolve M-1 to M-3 and the C1–C15 inconsistencies.</w:t>
            </w:r>
          </w:p>
        </w:tc>
      </w:tr>
      <w:tr>
        <w:tc>
          <w:tcPr>
            <w:tcW w:type="dxa" w:w="1446"/>
            <w:tcMar>
              <w:top w:type="dxa" w:w="60"/>
              <w:left w:type="dxa" w:w="90"/>
              <w:bottom w:type="dxa" w:w="60"/>
              <w:right w:type="dxa" w:w="90"/>
            </w:tcMar>
          </w:tcPr>
          <w:p>
            <w:pPr>
              <w:spacing w:after="40"/>
            </w:pPr>
            <w:r>
              <w:rPr>
                <w:sz w:val="18"/>
                <w:szCs w:val="18"/>
              </w:rPr>
              <w:t xml:space="preserve">Scientific value</w:t>
            </w:r>
          </w:p>
        </w:tc>
        <w:tc>
          <w:tcPr>
            <w:tcW w:type="dxa" w:w="4819"/>
            <w:tcMar>
              <w:top w:type="dxa" w:w="60"/>
              <w:left w:type="dxa" w:w="90"/>
              <w:bottom w:type="dxa" w:w="60"/>
              <w:right w:type="dxa" w:w="90"/>
            </w:tcMar>
          </w:tcPr>
          <w:p>
            <w:pPr>
              <w:spacing w:after="40"/>
            </w:pPr>
            <w:r>
              <w:rPr>
                <w:sz w:val="18"/>
                <w:szCs w:val="18"/>
              </w:rPr>
              <w:t xml:space="preserve">Two publishable papers once revised: (1) AT1 sukuk pricing using within-bank and matched designs, call-decision evidence and the March 2023 event; (2) a short paper on the callable census and the greenium composition result.</w:t>
            </w:r>
          </w:p>
        </w:tc>
        <w:tc>
          <w:tcPr>
            <w:tcW w:type="dxa" w:w="3373"/>
            <w:tcMar>
              <w:top w:type="dxa" w:w="60"/>
              <w:left w:type="dxa" w:w="90"/>
              <w:bottom w:type="dxa" w:w="60"/>
              <w:right w:type="dxa" w:w="90"/>
            </w:tcMar>
          </w:tcPr>
          <w:p>
            <w:pPr>
              <w:spacing w:after="40"/>
            </w:pPr>
            <w:r>
              <w:rPr>
                <w:sz w:val="18"/>
                <w:szCs w:val="18"/>
              </w:rPr>
              <w:t xml:space="preserve">—</w:t>
            </w:r>
          </w:p>
        </w:tc>
      </w:tr>
    </w:tbl>
    <w:p>
      <w:pPr>
        <w:spacing w:after="60"/>
      </w:pPr>
    </w:p>
    <w:p>
      <w:pPr>
        <w:pStyle w:val="Heading1"/>
        <w:spacing w:after="160" w:before="360"/>
      </w:pPr>
      <w:r>
        <w:t xml:space="preserve">8. Prioritised revision plan</w:t>
      </w:r>
    </w:p>
    <w:p>
      <w:pPr>
        <w:pStyle w:val="ListParagraph"/>
        <w:numPr>
          <w:ilvl w:val="0"/>
          <w:numId w:val="6"/>
        </w:numPr>
        <w:spacing w:after="80" w:line="264"/>
      </w:pPr>
      <w:r>
        <w:rPr>
          <w:b/>
          <w:bCs/>
        </w:rPr>
        <w:t xml:space="preserve">Build the determinants analysis</w:t>
      </w:r>
      <w:r>
        <w:t xml:space="preserve"> for objective (b): cross-sectional and within-pair designs (Section 2.1). Collect the scattered analyses from §§4.7–4.9 under it.</w:t>
      </w:r>
    </w:p>
    <w:p>
      <w:pPr>
        <w:pStyle w:val="ListParagraph"/>
        <w:numPr>
          <w:ilvl w:val="0"/>
          <w:numId w:val="6"/>
        </w:numPr>
        <w:spacing w:after="80" w:line="264"/>
      </w:pPr>
      <w:r>
        <w:rPr>
          <w:b/>
          <w:bCs/>
        </w:rPr>
        <w:t xml:space="preserve">Fix the confirmatory framework.</w:t>
      </w:r>
      <w:r>
        <w:t xml:space="preserve"> Declare one pre-specified primary horizon and decision test; present the nine protocol pairs as replication; test the +27 vs +240 bp heterogeneity.</w:t>
      </w:r>
    </w:p>
    <w:p>
      <w:pPr>
        <w:pStyle w:val="ListParagraph"/>
        <w:numPr>
          <w:ilvl w:val="0"/>
          <w:numId w:val="6"/>
        </w:numPr>
        <w:spacing w:after="80" w:line="264"/>
      </w:pPr>
      <w:r>
        <w:rPr>
          <w:b/>
          <w:bCs/>
        </w:rPr>
        <w:t xml:space="preserve">Re-identify H1b.</w:t>
      </w:r>
      <w:r>
        <w:t xml:space="preserve"> Use bank-rating matching, make the within-bank design co-primary, add an ex-Turkey result and a same-country variant.</w:t>
      </w:r>
    </w:p>
    <w:p>
      <w:pPr>
        <w:pStyle w:val="ListParagraph"/>
        <w:numPr>
          <w:ilvl w:val="0"/>
          <w:numId w:val="6"/>
        </w:numPr>
        <w:spacing w:after="80" w:line="264"/>
      </w:pPr>
      <w:r>
        <w:rPr>
          <w:b/>
          <w:bCs/>
        </w:rPr>
        <w:t xml:space="preserve">Diagnose the yield-vs-spread divergence</w:t>
      </w:r>
      <w:r>
        <w:t xml:space="preserve"> and harmonise the yield convention (yield-to-worst).</w:t>
      </w:r>
    </w:p>
    <w:p>
      <w:pPr>
        <w:pStyle w:val="ListParagraph"/>
        <w:numPr>
          <w:ilvl w:val="0"/>
          <w:numId w:val="6"/>
        </w:numPr>
        <w:spacing w:after="80" w:line="264"/>
      </w:pPr>
      <w:r>
        <w:rPr>
          <w:b/>
          <w:bCs/>
        </w:rPr>
        <w:t xml:space="preserve">Add the March 2023 event analysis</w:t>
      </w:r>
      <w:r>
        <w:t xml:space="preserve"> and the call-decision evidence as tests of rational pricing.</w:t>
      </w:r>
    </w:p>
    <w:p>
      <w:pPr>
        <w:pStyle w:val="ListParagraph"/>
        <w:numPr>
          <w:ilvl w:val="0"/>
          <w:numId w:val="6"/>
        </w:numPr>
        <w:spacing w:after="80" w:line="264"/>
      </w:pPr>
      <w:r>
        <w:rPr>
          <w:b/>
          <w:bCs/>
        </w:rPr>
        <w:t xml:space="preserve">Restructure the chapters</w:t>
      </w:r>
      <w:r>
        <w:t xml:space="preserve"> as outlined below, and remove process language, external “Decisions” and the benchmark re-run from the main text.</w:t>
      </w:r>
    </w:p>
    <w:p>
      <w:pPr>
        <w:pStyle w:val="ListParagraph"/>
        <w:numPr>
          <w:ilvl w:val="0"/>
          <w:numId w:val="6"/>
        </w:numPr>
        <w:spacing w:after="80" w:line="264"/>
      </w:pPr>
      <w:r>
        <w:rPr>
          <w:b/>
          <w:bCs/>
        </w:rPr>
        <w:t xml:space="preserve">Resolve every inconsistency</w:t>
      </w:r>
      <w:r>
        <w:t xml:space="preserve"> in F1–F7, C1–C15 and the cross-reference table.</w:t>
      </w:r>
    </w:p>
    <w:p>
      <w:pPr>
        <w:pStyle w:val="ListParagraph"/>
        <w:numPr>
          <w:ilvl w:val="0"/>
          <w:numId w:val="6"/>
        </w:numPr>
        <w:spacing w:after="80" w:line="264"/>
      </w:pPr>
      <w:r>
        <w:rPr>
          <w:b/>
          <w:bCs/>
        </w:rPr>
        <w:t xml:space="preserve">Rewrite the discussion finding by finding</w:t>
      </w:r>
      <w:r>
        <w:t xml:space="preserve">, using the Table 5 pattern, and rewrite the conclusion to answer the title question and both objectives.</w:t>
      </w:r>
    </w:p>
    <w:p>
      <w:pPr>
        <w:pStyle w:val="Heading2"/>
        <w:spacing w:after="120" w:before="240"/>
      </w:pPr>
      <w:r>
        <w:t xml:space="preserve">8.1 Suggested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5494"/>
        <w:gridCol w:w="2409"/>
      </w:tblGrid>
      <w:tr>
        <w:trPr>
          <w:tblHeader/>
        </w:trPr>
        <w:tc>
          <w:tcPr>
            <w:tcW w:type="dxa" w:w="1735"/>
            <w:shd w:fill="1F3864" w:color="auto" w:val="clear"/>
            <w:tcMar>
              <w:top w:type="dxa" w:w="60"/>
              <w:left w:type="dxa" w:w="90"/>
              <w:bottom w:type="dxa" w:w="60"/>
              <w:right w:type="dxa" w:w="90"/>
            </w:tcMar>
          </w:tcPr>
          <w:p>
            <w:pPr>
              <w:spacing w:after="40"/>
            </w:pPr>
            <w:r>
              <w:rPr>
                <w:b/>
                <w:bCs/>
                <w:color w:val="FFFFFF"/>
                <w:sz w:val="18"/>
                <w:szCs w:val="18"/>
              </w:rPr>
              <w:t xml:space="preserve">Chapter</w:t>
            </w:r>
          </w:p>
        </w:tc>
        <w:tc>
          <w:tcPr>
            <w:tcW w:type="dxa" w:w="5494"/>
            <w:shd w:fill="1F3864" w:color="auto" w:val="clear"/>
            <w:tcMar>
              <w:top w:type="dxa" w:w="60"/>
              <w:left w:type="dxa" w:w="90"/>
              <w:bottom w:type="dxa" w:w="60"/>
              <w:right w:type="dxa" w:w="90"/>
            </w:tcMar>
          </w:tcPr>
          <w:p>
            <w:pPr>
              <w:spacing w:after="40"/>
            </w:pPr>
            <w:r>
              <w:rPr>
                <w:b/>
                <w:bCs/>
                <w:color w:val="FFFFFF"/>
                <w:sz w:val="18"/>
                <w:szCs w:val="18"/>
              </w:rPr>
              <w:t xml:space="preserve">Content</w:t>
            </w:r>
          </w:p>
        </w:tc>
        <w:tc>
          <w:tcPr>
            <w:tcW w:type="dxa" w:w="2409"/>
            <w:shd w:fill="1F3864" w:color="auto" w:val="clear"/>
            <w:tcMar>
              <w:top w:type="dxa" w:w="60"/>
              <w:left w:type="dxa" w:w="90"/>
              <w:bottom w:type="dxa" w:w="60"/>
              <w:right w:type="dxa" w:w="90"/>
            </w:tcMar>
          </w:tcPr>
          <w:p>
            <w:pPr>
              <w:spacing w:after="40"/>
            </w:pPr>
            <w:r>
              <w:rPr>
                <w:b/>
                <w:bCs/>
                <w:color w:val="FFFFFF"/>
                <w:sz w:val="18"/>
                <w:szCs w:val="18"/>
              </w:rPr>
              <w:t xml:space="preserve">Moves from</w:t>
            </w:r>
          </w:p>
        </w:tc>
      </w:tr>
      <w:tr>
        <w:tc>
          <w:tcPr>
            <w:tcW w:type="dxa" w:w="1735"/>
            <w:tcMar>
              <w:top w:type="dxa" w:w="60"/>
              <w:left w:type="dxa" w:w="90"/>
              <w:bottom w:type="dxa" w:w="60"/>
              <w:right w:type="dxa" w:w="90"/>
            </w:tcMar>
          </w:tcPr>
          <w:p>
            <w:pPr>
              <w:spacing w:after="40"/>
            </w:pPr>
            <w:r>
              <w:rPr>
                <w:sz w:val="18"/>
                <w:szCs w:val="18"/>
              </w:rPr>
              <w:t xml:space="preserve">3 Research design</w:t>
            </w:r>
          </w:p>
        </w:tc>
        <w:tc>
          <w:tcPr>
            <w:tcW w:type="dxa" w:w="5494"/>
            <w:tcMar>
              <w:top w:type="dxa" w:w="60"/>
              <w:left w:type="dxa" w:w="90"/>
              <w:bottom w:type="dxa" w:w="60"/>
              <w:right w:type="dxa" w:w="90"/>
            </w:tcMar>
          </w:tcPr>
          <w:p>
            <w:pPr>
              <w:spacing w:after="40"/>
            </w:pPr>
            <w:r>
              <w:rPr>
                <w:sz w:val="18"/>
                <w:szCs w:val="18"/>
              </w:rPr>
              <w:t xml:space="preserve">3.1 Objectives → hypotheses → methods map (Table 1 of this review). 3.2 Data and sample. 3.3 Identification I: matched pairs (with common support). 3.4 Identification II: within-issuer panel. 3.5 Determinants models. 3.6 Estimands, inference and </w:t>
            </w:r>
            <w:r>
              <w:rPr>
                <w:b/>
                <w:bCs/>
                <w:sz w:val="18"/>
                <w:szCs w:val="18"/>
              </w:rPr>
              <w:t xml:space="preserve">one</w:t>
            </w:r>
            <w:r>
              <w:rPr>
                <w:sz w:val="18"/>
                <w:szCs w:val="18"/>
              </w:rPr>
              <w:t xml:space="preserve"> decision rule. 3.7 Robustness plan.</w:t>
            </w:r>
          </w:p>
        </w:tc>
        <w:tc>
          <w:tcPr>
            <w:tcW w:type="dxa" w:w="2409"/>
            <w:tcMar>
              <w:top w:type="dxa" w:w="60"/>
              <w:left w:type="dxa" w:w="90"/>
              <w:bottom w:type="dxa" w:w="60"/>
              <w:right w:type="dxa" w:w="90"/>
            </w:tcMar>
          </w:tcPr>
          <w:p>
            <w:pPr>
              <w:spacing w:after="40"/>
            </w:pPr>
            <w:r>
              <w:rPr>
                <w:sz w:val="18"/>
                <w:szCs w:val="18"/>
              </w:rPr>
              <w:t xml:space="preserve">Current Chapter 3, stripped of results; §4.7 method text</w:t>
            </w:r>
          </w:p>
        </w:tc>
      </w:tr>
      <w:tr>
        <w:tc>
          <w:tcPr>
            <w:tcW w:type="dxa" w:w="1735"/>
            <w:tcMar>
              <w:top w:type="dxa" w:w="60"/>
              <w:left w:type="dxa" w:w="90"/>
              <w:bottom w:type="dxa" w:w="60"/>
              <w:right w:type="dxa" w:w="90"/>
            </w:tcMar>
          </w:tcPr>
          <w:p>
            <w:pPr>
              <w:spacing w:after="40"/>
            </w:pPr>
            <w:r>
              <w:rPr>
                <w:sz w:val="18"/>
                <w:szCs w:val="18"/>
              </w:rPr>
              <w:t xml:space="preserve">4 Feature differentials (objective a)</w:t>
            </w:r>
          </w:p>
        </w:tc>
        <w:tc>
          <w:tcPr>
            <w:tcW w:type="dxa" w:w="5494"/>
            <w:tcMar>
              <w:top w:type="dxa" w:w="60"/>
              <w:left w:type="dxa" w:w="90"/>
              <w:bottom w:type="dxa" w:w="60"/>
              <w:right w:type="dxa" w:w="90"/>
            </w:tcMar>
          </w:tcPr>
          <w:p>
            <w:pPr>
              <w:spacing w:after="40"/>
            </w:pPr>
            <w:r>
              <w:rPr>
                <w:sz w:val="18"/>
                <w:szCs w:val="18"/>
              </w:rPr>
              <w:t xml:space="preserve">4.1 Descriptives and figures. 4.2 Callable. 4.3 AT1. 4.4 Labelled. 4.5 Putable (census). 4.6 Robustness. 4.7 One benchmark-vs-final comparison table.</w:t>
            </w:r>
          </w:p>
        </w:tc>
        <w:tc>
          <w:tcPr>
            <w:tcW w:type="dxa" w:w="2409"/>
            <w:tcMar>
              <w:top w:type="dxa" w:w="60"/>
              <w:left w:type="dxa" w:w="90"/>
              <w:bottom w:type="dxa" w:w="60"/>
              <w:right w:type="dxa" w:w="90"/>
            </w:tcMar>
          </w:tcPr>
          <w:p>
            <w:pPr>
              <w:spacing w:after="40"/>
            </w:pPr>
            <w:r>
              <w:rPr>
                <w:sz w:val="18"/>
                <w:szCs w:val="18"/>
              </w:rPr>
              <w:t xml:space="preserve">§§4.2–4.11; §4.12 condensed</w:t>
            </w:r>
          </w:p>
        </w:tc>
      </w:tr>
      <w:tr>
        <w:tc>
          <w:tcPr>
            <w:tcW w:type="dxa" w:w="1735"/>
            <w:tcMar>
              <w:top w:type="dxa" w:w="60"/>
              <w:left w:type="dxa" w:w="90"/>
              <w:bottom w:type="dxa" w:w="60"/>
              <w:right w:type="dxa" w:w="90"/>
            </w:tcMar>
          </w:tcPr>
          <w:p>
            <w:pPr>
              <w:spacing w:after="40"/>
            </w:pPr>
            <w:r>
              <w:rPr>
                <w:sz w:val="18"/>
                <w:szCs w:val="18"/>
              </w:rPr>
              <w:t xml:space="preserve">5 Determinants (objective b)</w:t>
            </w:r>
          </w:p>
        </w:tc>
        <w:tc>
          <w:tcPr>
            <w:tcW w:type="dxa" w:w="5494"/>
            <w:tcMar>
              <w:top w:type="dxa" w:w="60"/>
              <w:left w:type="dxa" w:w="90"/>
              <w:bottom w:type="dxa" w:w="60"/>
              <w:right w:type="dxa" w:w="90"/>
            </w:tcMar>
          </w:tcPr>
          <w:p>
            <w:pPr>
              <w:spacing w:after="40"/>
            </w:pPr>
            <w:r>
              <w:rPr>
                <w:sz w:val="18"/>
                <w:szCs w:val="18"/>
              </w:rPr>
              <w:t xml:space="preserve">5.1 Cross-sectional determinants. 5.2 Within-pair time-varying drivers (liquidity, time to call, market state). 5.3 March 2023 and call-decision events.</w:t>
            </w:r>
          </w:p>
        </w:tc>
        <w:tc>
          <w:tcPr>
            <w:tcW w:type="dxa" w:w="2409"/>
            <w:tcMar>
              <w:top w:type="dxa" w:w="60"/>
              <w:left w:type="dxa" w:w="90"/>
              <w:bottom w:type="dxa" w:w="60"/>
              <w:right w:type="dxa" w:w="90"/>
            </w:tcMar>
          </w:tcPr>
          <w:p>
            <w:pPr>
              <w:spacing w:after="40"/>
            </w:pPr>
            <w:r>
              <w:rPr>
                <w:sz w:val="18"/>
                <w:szCs w:val="18"/>
              </w:rPr>
              <w:t xml:space="preserve">§§4.7–4.9 plus new analysis</w:t>
            </w:r>
          </w:p>
        </w:tc>
      </w:tr>
      <w:tr>
        <w:tc>
          <w:tcPr>
            <w:tcW w:type="dxa" w:w="1735"/>
            <w:tcMar>
              <w:top w:type="dxa" w:w="60"/>
              <w:left w:type="dxa" w:w="90"/>
              <w:bottom w:type="dxa" w:w="60"/>
              <w:right w:type="dxa" w:w="90"/>
            </w:tcMar>
          </w:tcPr>
          <w:p>
            <w:pPr>
              <w:spacing w:after="40"/>
            </w:pPr>
            <w:r>
              <w:rPr>
                <w:sz w:val="18"/>
                <w:szCs w:val="18"/>
              </w:rPr>
              <w:t xml:space="preserve">6 Discussion</w:t>
            </w:r>
          </w:p>
        </w:tc>
        <w:tc>
          <w:tcPr>
            <w:tcW w:type="dxa" w:w="5494"/>
            <w:tcMar>
              <w:top w:type="dxa" w:w="60"/>
              <w:left w:type="dxa" w:w="90"/>
              <w:bottom w:type="dxa" w:w="60"/>
              <w:right w:type="dxa" w:w="90"/>
            </w:tcMar>
          </w:tcPr>
          <w:p>
            <w:pPr>
              <w:spacing w:after="40"/>
            </w:pPr>
            <w:r>
              <w:rPr>
                <w:sz w:val="18"/>
                <w:szCs w:val="18"/>
              </w:rPr>
              <w:t xml:space="preserve">Finding by finding against the literature (Table 5 pattern); rational-pricing synthesis; implications.</w:t>
            </w:r>
          </w:p>
        </w:tc>
        <w:tc>
          <w:tcPr>
            <w:tcW w:type="dxa" w:w="2409"/>
            <w:tcMar>
              <w:top w:type="dxa" w:w="60"/>
              <w:left w:type="dxa" w:w="90"/>
              <w:bottom w:type="dxa" w:w="60"/>
              <w:right w:type="dxa" w:w="90"/>
            </w:tcMar>
          </w:tcPr>
          <w:p>
            <w:pPr>
              <w:spacing w:after="40"/>
            </w:pPr>
            <w:r>
              <w:rPr>
                <w:sz w:val="18"/>
                <w:szCs w:val="18"/>
              </w:rPr>
              <w:t xml:space="preserve">Current Chapter 5</w:t>
            </w:r>
          </w:p>
        </w:tc>
      </w:tr>
      <w:tr>
        <w:tc>
          <w:tcPr>
            <w:tcW w:type="dxa" w:w="1735"/>
            <w:tcMar>
              <w:top w:type="dxa" w:w="60"/>
              <w:left w:type="dxa" w:w="90"/>
              <w:bottom w:type="dxa" w:w="60"/>
              <w:right w:type="dxa" w:w="90"/>
            </w:tcMar>
          </w:tcPr>
          <w:p>
            <w:pPr>
              <w:spacing w:after="40"/>
            </w:pPr>
            <w:r>
              <w:rPr>
                <w:sz w:val="18"/>
                <w:szCs w:val="18"/>
              </w:rPr>
              <w:t xml:space="preserve">7 Conclusion</w:t>
            </w:r>
          </w:p>
        </w:tc>
        <w:tc>
          <w:tcPr>
            <w:tcW w:type="dxa" w:w="5494"/>
            <w:tcMar>
              <w:top w:type="dxa" w:w="60"/>
              <w:left w:type="dxa" w:w="90"/>
              <w:bottom w:type="dxa" w:w="60"/>
              <w:right w:type="dxa" w:w="90"/>
            </w:tcMar>
          </w:tcPr>
          <w:p>
            <w:pPr>
              <w:spacing w:after="40"/>
            </w:pPr>
            <w:r>
              <w:rPr>
                <w:sz w:val="18"/>
                <w:szCs w:val="18"/>
              </w:rPr>
              <w:t xml:space="preserve">Answers to objectives (a) and (b); answer to the title question; contributions; limitations; future research.</w:t>
            </w:r>
          </w:p>
        </w:tc>
        <w:tc>
          <w:tcPr>
            <w:tcW w:type="dxa" w:w="2409"/>
            <w:tcMar>
              <w:top w:type="dxa" w:w="60"/>
              <w:left w:type="dxa" w:w="90"/>
              <w:bottom w:type="dxa" w:w="60"/>
              <w:right w:type="dxa" w:w="90"/>
            </w:tcMar>
          </w:tcPr>
          <w:p>
            <w:pPr>
              <w:spacing w:after="40"/>
            </w:pPr>
            <w:r>
              <w:rPr>
                <w:sz w:val="18"/>
                <w:szCs w:val="18"/>
              </w:rPr>
              <w:t xml:space="preserve">§5.12 expanded</w:t>
            </w:r>
          </w:p>
        </w:tc>
      </w:tr>
      <w:tr>
        <w:tc>
          <w:tcPr>
            <w:tcW w:type="dxa" w:w="1735"/>
            <w:tcMar>
              <w:top w:type="dxa" w:w="60"/>
              <w:left w:type="dxa" w:w="90"/>
              <w:bottom w:type="dxa" w:w="60"/>
              <w:right w:type="dxa" w:w="90"/>
            </w:tcMar>
          </w:tcPr>
          <w:p>
            <w:pPr>
              <w:spacing w:after="40"/>
            </w:pPr>
            <w:r>
              <w:rPr>
                <w:sz w:val="18"/>
                <w:szCs w:val="18"/>
              </w:rPr>
              <w:t xml:space="preserve">Appendices</w:t>
            </w:r>
          </w:p>
        </w:tc>
        <w:tc>
          <w:tcPr>
            <w:tcW w:type="dxa" w:w="5494"/>
            <w:tcMar>
              <w:top w:type="dxa" w:w="60"/>
              <w:left w:type="dxa" w:w="90"/>
              <w:bottom w:type="dxa" w:w="60"/>
              <w:right w:type="dxa" w:w="90"/>
            </w:tcMar>
          </w:tcPr>
          <w:p>
            <w:pPr>
              <w:spacing w:after="40"/>
            </w:pPr>
            <w:r>
              <w:rPr>
                <w:sz w:val="18"/>
                <w:szCs w:val="18"/>
              </w:rPr>
              <w:t xml:space="preserve">Data provenance; reconciliation with the proposal; matching protocol; superseded benchmark tables; estimator validation.</w:t>
            </w:r>
          </w:p>
        </w:tc>
        <w:tc>
          <w:tcPr>
            <w:tcW w:type="dxa" w:w="2409"/>
            <w:tcMar>
              <w:top w:type="dxa" w:w="60"/>
              <w:left w:type="dxa" w:w="90"/>
              <w:bottom w:type="dxa" w:w="60"/>
              <w:right w:type="dxa" w:w="90"/>
            </w:tcMar>
          </w:tcPr>
          <w:p>
            <w:pPr>
              <w:spacing w:after="40"/>
            </w:pPr>
            <w:r>
              <w:rPr>
                <w:sz w:val="18"/>
                <w:szCs w:val="18"/>
              </w:rPr>
              <w:t xml:space="preserve">§3.14–3.15; §4.12; App. A–D</w:t>
            </w:r>
          </w:p>
        </w:tc>
      </w:tr>
    </w:tbl>
    <w:p>
      <w:pPr>
        <w:pStyle w:val="Heading1"/>
        <w:spacing w:after="160" w:before="360"/>
      </w:pPr>
      <w:r>
        <w:t xml:space="preserve">Appendix 1. Page index of the draft</w:t>
      </w:r>
    </w:p>
    <w:p>
      <w:pPr>
        <w:spacing w:after="120" w:line="276"/>
      </w:pPr>
      <w:r>
        <w:t xml:space="preserve">Page numbers as last paginated in Word (title page = p.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964"/>
        <w:gridCol w:w="4048"/>
        <w:gridCol w:w="964"/>
      </w:tblGrid>
      <w:tr>
        <w:trPr>
          <w:tblHeader/>
        </w:trPr>
        <w:tc>
          <w:tcPr>
            <w:tcW w:type="dxa" w:w="3662"/>
            <w:shd w:fill="1F3864" w:color="auto" w:val="clear"/>
            <w:tcMar>
              <w:top w:type="dxa" w:w="60"/>
              <w:left w:type="dxa" w:w="90"/>
              <w:bottom w:type="dxa" w:w="60"/>
              <w:right w:type="dxa" w:w="90"/>
            </w:tcMar>
          </w:tcPr>
          <w:p>
            <w:pPr>
              <w:spacing w:after="40"/>
            </w:pPr>
            <w:r>
              <w:rPr>
                <w:b/>
                <w:bCs/>
                <w:color w:val="FFFFFF"/>
                <w:sz w:val="18"/>
                <w:szCs w:val="18"/>
              </w:rPr>
              <w:t xml:space="preserve">Section</w:t>
            </w:r>
          </w:p>
        </w:tc>
        <w:tc>
          <w:tcPr>
            <w:tcW w:type="dxa" w:w="964"/>
            <w:shd w:fill="1F3864" w:color="auto" w:val="clear"/>
            <w:tcMar>
              <w:top w:type="dxa" w:w="60"/>
              <w:left w:type="dxa" w:w="90"/>
              <w:bottom w:type="dxa" w:w="60"/>
              <w:right w:type="dxa" w:w="90"/>
            </w:tcMar>
          </w:tcPr>
          <w:p>
            <w:pPr>
              <w:spacing w:after="40"/>
            </w:pPr>
            <w:r>
              <w:rPr>
                <w:b/>
                <w:bCs/>
                <w:color w:val="FFFFFF"/>
                <w:sz w:val="18"/>
                <w:szCs w:val="18"/>
              </w:rPr>
              <w:t xml:space="preserve">Page</w:t>
            </w:r>
          </w:p>
        </w:tc>
        <w:tc>
          <w:tcPr>
            <w:tcW w:type="dxa" w:w="4048"/>
            <w:shd w:fill="1F3864" w:color="auto" w:val="clear"/>
            <w:tcMar>
              <w:top w:type="dxa" w:w="60"/>
              <w:left w:type="dxa" w:w="90"/>
              <w:bottom w:type="dxa" w:w="60"/>
              <w:right w:type="dxa" w:w="90"/>
            </w:tcMar>
          </w:tcPr>
          <w:p>
            <w:pPr>
              <w:spacing w:after="40"/>
            </w:pPr>
            <w:r>
              <w:rPr>
                <w:b/>
                <w:bCs/>
                <w:color w:val="FFFFFF"/>
                <w:sz w:val="18"/>
                <w:szCs w:val="18"/>
              </w:rPr>
              <w:t xml:space="preserve">Section</w:t>
            </w:r>
          </w:p>
        </w:tc>
        <w:tc>
          <w:tcPr>
            <w:tcW w:type="dxa" w:w="964"/>
            <w:shd w:fill="1F3864" w:color="auto" w:val="clear"/>
            <w:tcMar>
              <w:top w:type="dxa" w:w="60"/>
              <w:left w:type="dxa" w:w="90"/>
              <w:bottom w:type="dxa" w:w="60"/>
              <w:right w:type="dxa" w:w="90"/>
            </w:tcMar>
          </w:tcPr>
          <w:p>
            <w:pPr>
              <w:spacing w:after="40"/>
            </w:pPr>
            <w:r>
              <w:rPr>
                <w:b/>
                <w:bCs/>
                <w:color w:val="FFFFFF"/>
                <w:sz w:val="18"/>
                <w:szCs w:val="18"/>
              </w:rPr>
              <w:t xml:space="preserve">Page</w:t>
            </w:r>
          </w:p>
        </w:tc>
      </w:tr>
      <w:tr>
        <w:tc>
          <w:tcPr>
            <w:tcW w:type="dxa" w:w="3662"/>
            <w:tcMar>
              <w:top w:type="dxa" w:w="60"/>
              <w:left w:type="dxa" w:w="90"/>
              <w:bottom w:type="dxa" w:w="60"/>
              <w:right w:type="dxa" w:w="90"/>
            </w:tcMar>
          </w:tcPr>
          <w:p>
            <w:pPr>
              <w:spacing w:after="40"/>
            </w:pPr>
            <w:r>
              <w:rPr>
                <w:sz w:val="18"/>
                <w:szCs w:val="18"/>
              </w:rPr>
              <w:t xml:space="preserve">3.1 Introduction and research design</w:t>
            </w:r>
          </w:p>
        </w:tc>
        <w:tc>
          <w:tcPr>
            <w:tcW w:type="dxa" w:w="964"/>
            <w:tcMar>
              <w:top w:type="dxa" w:w="60"/>
              <w:left w:type="dxa" w:w="90"/>
              <w:bottom w:type="dxa" w:w="60"/>
              <w:right w:type="dxa" w:w="90"/>
            </w:tcMar>
          </w:tcPr>
          <w:p>
            <w:pPr>
              <w:spacing w:after="40"/>
            </w:pPr>
            <w:r>
              <w:rPr>
                <w:sz w:val="18"/>
                <w:szCs w:val="18"/>
              </w:rPr>
              <w:t xml:space="preserve">2</w:t>
            </w:r>
          </w:p>
        </w:tc>
        <w:tc>
          <w:tcPr>
            <w:tcW w:type="dxa" w:w="4048"/>
            <w:tcMar>
              <w:top w:type="dxa" w:w="60"/>
              <w:left w:type="dxa" w:w="90"/>
              <w:bottom w:type="dxa" w:w="60"/>
              <w:right w:type="dxa" w:w="90"/>
            </w:tcMar>
          </w:tcPr>
          <w:p>
            <w:pPr>
              <w:spacing w:after="40"/>
            </w:pPr>
            <w:r>
              <w:rPr>
                <w:sz w:val="18"/>
                <w:szCs w:val="18"/>
              </w:rPr>
              <w:t xml:space="preserve">4.7 Full-panel within-issuer estimates</w:t>
            </w:r>
          </w:p>
        </w:tc>
        <w:tc>
          <w:tcPr>
            <w:tcW w:type="dxa" w:w="964"/>
            <w:tcMar>
              <w:top w:type="dxa" w:w="60"/>
              <w:left w:type="dxa" w:w="90"/>
              <w:bottom w:type="dxa" w:w="60"/>
              <w:right w:type="dxa" w:w="90"/>
            </w:tcMar>
          </w:tcPr>
          <w:p>
            <w:pPr>
              <w:spacing w:after="40"/>
            </w:pPr>
            <w:r>
              <w:rPr>
                <w:sz w:val="18"/>
                <w:szCs w:val="18"/>
              </w:rPr>
              <w:t xml:space="preserve">39</w:t>
            </w:r>
          </w:p>
        </w:tc>
      </w:tr>
      <w:tr>
        <w:tc>
          <w:tcPr>
            <w:tcW w:type="dxa" w:w="3662"/>
            <w:tcMar>
              <w:top w:type="dxa" w:w="60"/>
              <w:left w:type="dxa" w:w="90"/>
              <w:bottom w:type="dxa" w:w="60"/>
              <w:right w:type="dxa" w:w="90"/>
            </w:tcMar>
          </w:tcPr>
          <w:p>
            <w:pPr>
              <w:spacing w:after="40"/>
            </w:pPr>
            <w:r>
              <w:rPr>
                <w:sz w:val="18"/>
                <w:szCs w:val="18"/>
              </w:rPr>
              <w:t xml:space="preserve">3.2 Estimands and unit of inference</w:t>
            </w:r>
          </w:p>
        </w:tc>
        <w:tc>
          <w:tcPr>
            <w:tcW w:type="dxa" w:w="964"/>
            <w:tcMar>
              <w:top w:type="dxa" w:w="60"/>
              <w:left w:type="dxa" w:w="90"/>
              <w:bottom w:type="dxa" w:w="60"/>
              <w:right w:type="dxa" w:w="90"/>
            </w:tcMar>
          </w:tcPr>
          <w:p>
            <w:pPr>
              <w:spacing w:after="40"/>
            </w:pPr>
            <w:r>
              <w:rPr>
                <w:sz w:val="18"/>
                <w:szCs w:val="18"/>
              </w:rPr>
              <w:t xml:space="preserve">4</w:t>
            </w:r>
          </w:p>
        </w:tc>
        <w:tc>
          <w:tcPr>
            <w:tcW w:type="dxa" w:w="4048"/>
            <w:tcMar>
              <w:top w:type="dxa" w:w="60"/>
              <w:left w:type="dxa" w:w="90"/>
              <w:bottom w:type="dxa" w:w="60"/>
              <w:right w:type="dxa" w:w="90"/>
            </w:tcMar>
          </w:tcPr>
          <w:p>
            <w:pPr>
              <w:spacing w:after="40"/>
            </w:pPr>
            <w:r>
              <w:rPr>
                <w:sz w:val="18"/>
                <w:szCs w:val="18"/>
              </w:rPr>
              <w:t xml:space="preserve">4.8 Call outcomes and the cost, OAS and liquidity layers</w:t>
            </w:r>
          </w:p>
        </w:tc>
        <w:tc>
          <w:tcPr>
            <w:tcW w:type="dxa" w:w="964"/>
            <w:tcMar>
              <w:top w:type="dxa" w:w="60"/>
              <w:left w:type="dxa" w:w="90"/>
              <w:bottom w:type="dxa" w:w="60"/>
              <w:right w:type="dxa" w:w="90"/>
            </w:tcMar>
          </w:tcPr>
          <w:p>
            <w:pPr>
              <w:spacing w:after="40"/>
            </w:pPr>
            <w:r>
              <w:rPr>
                <w:sz w:val="18"/>
                <w:szCs w:val="18"/>
              </w:rPr>
              <w:t xml:space="preserve">43</w:t>
            </w:r>
          </w:p>
        </w:tc>
      </w:tr>
      <w:tr>
        <w:tc>
          <w:tcPr>
            <w:tcW w:type="dxa" w:w="3662"/>
            <w:tcMar>
              <w:top w:type="dxa" w:w="60"/>
              <w:left w:type="dxa" w:w="90"/>
              <w:bottom w:type="dxa" w:w="60"/>
              <w:right w:type="dxa" w:w="90"/>
            </w:tcMar>
          </w:tcPr>
          <w:p>
            <w:pPr>
              <w:spacing w:after="40"/>
            </w:pPr>
            <w:r>
              <w:rPr>
                <w:sz w:val="18"/>
                <w:szCs w:val="18"/>
              </w:rPr>
              <w:t xml:space="preserve">3.3 Data sources</w:t>
            </w:r>
          </w:p>
        </w:tc>
        <w:tc>
          <w:tcPr>
            <w:tcW w:type="dxa" w:w="964"/>
            <w:tcMar>
              <w:top w:type="dxa" w:w="60"/>
              <w:left w:type="dxa" w:w="90"/>
              <w:bottom w:type="dxa" w:w="60"/>
              <w:right w:type="dxa" w:w="90"/>
            </w:tcMar>
          </w:tcPr>
          <w:p>
            <w:pPr>
              <w:spacing w:after="40"/>
            </w:pPr>
            <w:r>
              <w:rPr>
                <w:sz w:val="18"/>
                <w:szCs w:val="18"/>
              </w:rPr>
              <w:t xml:space="preserve">7</w:t>
            </w:r>
          </w:p>
        </w:tc>
        <w:tc>
          <w:tcPr>
            <w:tcW w:type="dxa" w:w="4048"/>
            <w:tcMar>
              <w:top w:type="dxa" w:w="60"/>
              <w:left w:type="dxa" w:w="90"/>
              <w:bottom w:type="dxa" w:w="60"/>
              <w:right w:type="dxa" w:w="90"/>
            </w:tcMar>
          </w:tcPr>
          <w:p>
            <w:pPr>
              <w:spacing w:after="40"/>
            </w:pPr>
            <w:r>
              <w:rPr>
                <w:sz w:val="18"/>
                <w:szCs w:val="18"/>
              </w:rPr>
              <w:t xml:space="preserve">4.9 Documentary layer (census, slope, labels)</w:t>
            </w:r>
          </w:p>
        </w:tc>
        <w:tc>
          <w:tcPr>
            <w:tcW w:type="dxa" w:w="964"/>
            <w:tcMar>
              <w:top w:type="dxa" w:w="60"/>
              <w:left w:type="dxa" w:w="90"/>
              <w:bottom w:type="dxa" w:w="60"/>
              <w:right w:type="dxa" w:w="90"/>
            </w:tcMar>
          </w:tcPr>
          <w:p>
            <w:pPr>
              <w:spacing w:after="40"/>
            </w:pPr>
            <w:r>
              <w:rPr>
                <w:sz w:val="18"/>
                <w:szCs w:val="18"/>
              </w:rPr>
              <w:t xml:space="preserve">47</w:t>
            </w:r>
          </w:p>
        </w:tc>
      </w:tr>
      <w:tr>
        <w:tc>
          <w:tcPr>
            <w:tcW w:type="dxa" w:w="3662"/>
            <w:tcMar>
              <w:top w:type="dxa" w:w="60"/>
              <w:left w:type="dxa" w:w="90"/>
              <w:bottom w:type="dxa" w:w="60"/>
              <w:right w:type="dxa" w:w="90"/>
            </w:tcMar>
          </w:tcPr>
          <w:p>
            <w:pPr>
              <w:spacing w:after="40"/>
            </w:pPr>
            <w:r>
              <w:rPr>
                <w:sz w:val="18"/>
                <w:szCs w:val="18"/>
              </w:rPr>
              <w:t xml:space="preserve">3.4 Sample construction</w:t>
            </w:r>
          </w:p>
        </w:tc>
        <w:tc>
          <w:tcPr>
            <w:tcW w:type="dxa" w:w="964"/>
            <w:tcMar>
              <w:top w:type="dxa" w:w="60"/>
              <w:left w:type="dxa" w:w="90"/>
              <w:bottom w:type="dxa" w:w="60"/>
              <w:right w:type="dxa" w:w="90"/>
            </w:tcMar>
          </w:tcPr>
          <w:p>
            <w:pPr>
              <w:spacing w:after="40"/>
            </w:pPr>
            <w:r>
              <w:rPr>
                <w:sz w:val="18"/>
                <w:szCs w:val="18"/>
              </w:rPr>
              <w:t xml:space="preserve">8</w:t>
            </w:r>
          </w:p>
        </w:tc>
        <w:tc>
          <w:tcPr>
            <w:tcW w:type="dxa" w:w="4048"/>
            <w:tcMar>
              <w:top w:type="dxa" w:w="60"/>
              <w:left w:type="dxa" w:w="90"/>
              <w:bottom w:type="dxa" w:w="60"/>
              <w:right w:type="dxa" w:w="90"/>
            </w:tcMar>
          </w:tcPr>
          <w:p>
            <w:pPr>
              <w:spacing w:after="40"/>
            </w:pPr>
            <w:r>
              <w:rPr>
                <w:sz w:val="18"/>
                <w:szCs w:val="18"/>
              </w:rPr>
              <w:t xml:space="preserve">4.10 Putable census and H1c</w:t>
            </w:r>
          </w:p>
        </w:tc>
        <w:tc>
          <w:tcPr>
            <w:tcW w:type="dxa" w:w="964"/>
            <w:tcMar>
              <w:top w:type="dxa" w:w="60"/>
              <w:left w:type="dxa" w:w="90"/>
              <w:bottom w:type="dxa" w:w="60"/>
              <w:right w:type="dxa" w:w="90"/>
            </w:tcMar>
          </w:tcPr>
          <w:p>
            <w:pPr>
              <w:spacing w:after="40"/>
            </w:pPr>
            <w:r>
              <w:rPr>
                <w:sz w:val="18"/>
                <w:szCs w:val="18"/>
              </w:rPr>
              <w:t xml:space="preserve">49</w:t>
            </w:r>
          </w:p>
        </w:tc>
      </w:tr>
      <w:tr>
        <w:tc>
          <w:tcPr>
            <w:tcW w:type="dxa" w:w="3662"/>
            <w:tcMar>
              <w:top w:type="dxa" w:w="60"/>
              <w:left w:type="dxa" w:w="90"/>
              <w:bottom w:type="dxa" w:w="60"/>
              <w:right w:type="dxa" w:w="90"/>
            </w:tcMar>
          </w:tcPr>
          <w:p>
            <w:pPr>
              <w:spacing w:after="40"/>
            </w:pPr>
            <w:r>
              <w:rPr>
                <w:sz w:val="18"/>
                <w:szCs w:val="18"/>
              </w:rPr>
              <w:t xml:space="preserve">3.5 Matching procedure</w:t>
            </w:r>
          </w:p>
        </w:tc>
        <w:tc>
          <w:tcPr>
            <w:tcW w:type="dxa" w:w="964"/>
            <w:tcMar>
              <w:top w:type="dxa" w:w="60"/>
              <w:left w:type="dxa" w:w="90"/>
              <w:bottom w:type="dxa" w:w="60"/>
              <w:right w:type="dxa" w:w="90"/>
            </w:tcMar>
          </w:tcPr>
          <w:p>
            <w:pPr>
              <w:spacing w:after="40"/>
            </w:pPr>
            <w:r>
              <w:rPr>
                <w:sz w:val="18"/>
                <w:szCs w:val="18"/>
              </w:rPr>
              <w:t xml:space="preserve">9</w:t>
            </w:r>
          </w:p>
        </w:tc>
        <w:tc>
          <w:tcPr>
            <w:tcW w:type="dxa" w:w="4048"/>
            <w:tcMar>
              <w:top w:type="dxa" w:w="60"/>
              <w:left w:type="dxa" w:w="90"/>
              <w:bottom w:type="dxa" w:w="60"/>
              <w:right w:type="dxa" w:w="90"/>
            </w:tcMar>
          </w:tcPr>
          <w:p>
            <w:pPr>
              <w:spacing w:after="40"/>
            </w:pPr>
            <w:r>
              <w:rPr>
                <w:sz w:val="18"/>
                <w:szCs w:val="18"/>
              </w:rPr>
              <w:t xml:space="preserve">4.11 Final hypothesis decisions (Table 4.8)</w:t>
            </w:r>
          </w:p>
        </w:tc>
        <w:tc>
          <w:tcPr>
            <w:tcW w:type="dxa" w:w="964"/>
            <w:tcMar>
              <w:top w:type="dxa" w:w="60"/>
              <w:left w:type="dxa" w:w="90"/>
              <w:bottom w:type="dxa" w:w="60"/>
              <w:right w:type="dxa" w:w="90"/>
            </w:tcMar>
          </w:tcPr>
          <w:p>
            <w:pPr>
              <w:spacing w:after="40"/>
            </w:pPr>
            <w:r>
              <w:rPr>
                <w:sz w:val="18"/>
                <w:szCs w:val="18"/>
              </w:rPr>
              <w:t xml:space="preserve">50</w:t>
            </w:r>
          </w:p>
        </w:tc>
      </w:tr>
      <w:tr>
        <w:tc>
          <w:tcPr>
            <w:tcW w:type="dxa" w:w="3662"/>
            <w:tcMar>
              <w:top w:type="dxa" w:w="60"/>
              <w:left w:type="dxa" w:w="90"/>
              <w:bottom w:type="dxa" w:w="60"/>
              <w:right w:type="dxa" w:w="90"/>
            </w:tcMar>
          </w:tcPr>
          <w:p>
            <w:pPr>
              <w:spacing w:after="40"/>
            </w:pPr>
            <w:r>
              <w:rPr>
                <w:sz w:val="18"/>
                <w:szCs w:val="18"/>
              </w:rPr>
              <w:t xml:space="preserve">3.6 Covariate balance and common support</w:t>
            </w:r>
          </w:p>
        </w:tc>
        <w:tc>
          <w:tcPr>
            <w:tcW w:type="dxa" w:w="964"/>
            <w:tcMar>
              <w:top w:type="dxa" w:w="60"/>
              <w:left w:type="dxa" w:w="90"/>
              <w:bottom w:type="dxa" w:w="60"/>
              <w:right w:type="dxa" w:w="90"/>
            </w:tcMar>
          </w:tcPr>
          <w:p>
            <w:pPr>
              <w:spacing w:after="40"/>
            </w:pPr>
            <w:r>
              <w:rPr>
                <w:sz w:val="18"/>
                <w:szCs w:val="18"/>
              </w:rPr>
              <w:t xml:space="preserve">12</w:t>
            </w:r>
          </w:p>
        </w:tc>
        <w:tc>
          <w:tcPr>
            <w:tcW w:type="dxa" w:w="4048"/>
            <w:tcMar>
              <w:top w:type="dxa" w:w="60"/>
              <w:left w:type="dxa" w:w="90"/>
              <w:bottom w:type="dxa" w:w="60"/>
              <w:right w:type="dxa" w:w="90"/>
            </w:tcMar>
          </w:tcPr>
          <w:p>
            <w:pPr>
              <w:spacing w:after="40"/>
            </w:pPr>
            <w:r>
              <w:rPr>
                <w:sz w:val="18"/>
                <w:szCs w:val="18"/>
              </w:rPr>
              <w:t xml:space="preserve">4.12 Benchmark window and original sample</w:t>
            </w:r>
          </w:p>
        </w:tc>
        <w:tc>
          <w:tcPr>
            <w:tcW w:type="dxa" w:w="964"/>
            <w:tcMar>
              <w:top w:type="dxa" w:w="60"/>
              <w:left w:type="dxa" w:w="90"/>
              <w:bottom w:type="dxa" w:w="60"/>
              <w:right w:type="dxa" w:w="90"/>
            </w:tcMar>
          </w:tcPr>
          <w:p>
            <w:pPr>
              <w:spacing w:after="40"/>
            </w:pPr>
            <w:r>
              <w:rPr>
                <w:sz w:val="18"/>
                <w:szCs w:val="18"/>
              </w:rPr>
              <w:t xml:space="preserve">51</w:t>
            </w:r>
          </w:p>
        </w:tc>
      </w:tr>
      <w:tr>
        <w:tc>
          <w:tcPr>
            <w:tcW w:type="dxa" w:w="3662"/>
            <w:tcMar>
              <w:top w:type="dxa" w:w="60"/>
              <w:left w:type="dxa" w:w="90"/>
              <w:bottom w:type="dxa" w:w="60"/>
              <w:right w:type="dxa" w:w="90"/>
            </w:tcMar>
          </w:tcPr>
          <w:p>
            <w:pPr>
              <w:spacing w:after="40"/>
            </w:pPr>
            <w:r>
              <w:rPr>
                <w:sz w:val="18"/>
                <w:szCs w:val="18"/>
              </w:rPr>
              <w:t xml:space="preserve">3.7 Outcome construction</w:t>
            </w:r>
          </w:p>
        </w:tc>
        <w:tc>
          <w:tcPr>
            <w:tcW w:type="dxa" w:w="964"/>
            <w:tcMar>
              <w:top w:type="dxa" w:w="60"/>
              <w:left w:type="dxa" w:w="90"/>
              <w:bottom w:type="dxa" w:w="60"/>
              <w:right w:type="dxa" w:w="90"/>
            </w:tcMar>
          </w:tcPr>
          <w:p>
            <w:pPr>
              <w:spacing w:after="40"/>
            </w:pPr>
            <w:r>
              <w:rPr>
                <w:sz w:val="18"/>
                <w:szCs w:val="18"/>
              </w:rPr>
              <w:t xml:space="preserve">13</w:t>
            </w:r>
          </w:p>
        </w:tc>
        <w:tc>
          <w:tcPr>
            <w:tcW w:type="dxa" w:w="4048"/>
            <w:tcMar>
              <w:top w:type="dxa" w:w="60"/>
              <w:left w:type="dxa" w:w="90"/>
              <w:bottom w:type="dxa" w:w="60"/>
              <w:right w:type="dxa" w:w="90"/>
            </w:tcMar>
          </w:tcPr>
          <w:p>
            <w:pPr>
              <w:spacing w:after="40"/>
            </w:pPr>
            <w:r>
              <w:rPr>
                <w:sz w:val="18"/>
                <w:szCs w:val="18"/>
              </w:rPr>
              <w:t xml:space="preserve">4.12.1–4.12.9 (Tables 4.9–4.18)</w:t>
            </w:r>
          </w:p>
        </w:tc>
        <w:tc>
          <w:tcPr>
            <w:tcW w:type="dxa" w:w="964"/>
            <w:tcMar>
              <w:top w:type="dxa" w:w="60"/>
              <w:left w:type="dxa" w:w="90"/>
              <w:bottom w:type="dxa" w:w="60"/>
              <w:right w:type="dxa" w:w="90"/>
            </w:tcMar>
          </w:tcPr>
          <w:p>
            <w:pPr>
              <w:spacing w:after="40"/>
            </w:pPr>
            <w:r>
              <w:rPr>
                <w:sz w:val="18"/>
                <w:szCs w:val="18"/>
              </w:rPr>
              <w:t xml:space="preserve">52–72</w:t>
            </w:r>
          </w:p>
        </w:tc>
      </w:tr>
      <w:tr>
        <w:tc>
          <w:tcPr>
            <w:tcW w:type="dxa" w:w="3662"/>
            <w:tcMar>
              <w:top w:type="dxa" w:w="60"/>
              <w:left w:type="dxa" w:w="90"/>
              <w:bottom w:type="dxa" w:w="60"/>
              <w:right w:type="dxa" w:w="90"/>
            </w:tcMar>
          </w:tcPr>
          <w:p>
            <w:pPr>
              <w:spacing w:after="40"/>
            </w:pPr>
            <w:r>
              <w:rPr>
                <w:sz w:val="18"/>
                <w:szCs w:val="18"/>
              </w:rPr>
              <w:t xml:space="preserve">3.8 Dependence and inference</w:t>
            </w:r>
          </w:p>
        </w:tc>
        <w:tc>
          <w:tcPr>
            <w:tcW w:type="dxa" w:w="964"/>
            <w:tcMar>
              <w:top w:type="dxa" w:w="60"/>
              <w:left w:type="dxa" w:w="90"/>
              <w:bottom w:type="dxa" w:w="60"/>
              <w:right w:type="dxa" w:w="90"/>
            </w:tcMar>
          </w:tcPr>
          <w:p>
            <w:pPr>
              <w:spacing w:after="40"/>
            </w:pPr>
            <w:r>
              <w:rPr>
                <w:sz w:val="18"/>
                <w:szCs w:val="18"/>
              </w:rPr>
              <w:t xml:space="preserve">15</w:t>
            </w:r>
          </w:p>
        </w:tc>
        <w:tc>
          <w:tcPr>
            <w:tcW w:type="dxa" w:w="4048"/>
            <w:tcMar>
              <w:top w:type="dxa" w:w="60"/>
              <w:left w:type="dxa" w:w="90"/>
              <w:bottom w:type="dxa" w:w="60"/>
              <w:right w:type="dxa" w:w="90"/>
            </w:tcMar>
          </w:tcPr>
          <w:p>
            <w:pPr>
              <w:spacing w:after="40"/>
            </w:pPr>
            <w:r>
              <w:rPr>
                <w:sz w:val="18"/>
                <w:szCs w:val="18"/>
              </w:rPr>
              <w:t xml:space="preserve">5.1 The empirical puzzle</w:t>
            </w:r>
          </w:p>
        </w:tc>
        <w:tc>
          <w:tcPr>
            <w:tcW w:type="dxa" w:w="964"/>
            <w:tcMar>
              <w:top w:type="dxa" w:w="60"/>
              <w:left w:type="dxa" w:w="90"/>
              <w:bottom w:type="dxa" w:w="60"/>
              <w:right w:type="dxa" w:w="90"/>
            </w:tcMar>
          </w:tcPr>
          <w:p>
            <w:pPr>
              <w:spacing w:after="40"/>
            </w:pPr>
            <w:r>
              <w:rPr>
                <w:sz w:val="18"/>
                <w:szCs w:val="18"/>
              </w:rPr>
              <w:t xml:space="preserve">73</w:t>
            </w:r>
          </w:p>
        </w:tc>
      </w:tr>
      <w:tr>
        <w:tc>
          <w:tcPr>
            <w:tcW w:type="dxa" w:w="3662"/>
            <w:tcMar>
              <w:top w:type="dxa" w:w="60"/>
              <w:left w:type="dxa" w:w="90"/>
              <w:bottom w:type="dxa" w:w="60"/>
              <w:right w:type="dxa" w:w="90"/>
            </w:tcMar>
          </w:tcPr>
          <w:p>
            <w:pPr>
              <w:spacing w:after="40"/>
            </w:pPr>
            <w:r>
              <w:rPr>
                <w:sz w:val="18"/>
                <w:szCs w:val="18"/>
              </w:rPr>
              <w:t xml:space="preserve">3.9 Statistical power</w:t>
            </w:r>
          </w:p>
        </w:tc>
        <w:tc>
          <w:tcPr>
            <w:tcW w:type="dxa" w:w="964"/>
            <w:tcMar>
              <w:top w:type="dxa" w:w="60"/>
              <w:left w:type="dxa" w:w="90"/>
              <w:bottom w:type="dxa" w:w="60"/>
              <w:right w:type="dxa" w:w="90"/>
            </w:tcMar>
          </w:tcPr>
          <w:p>
            <w:pPr>
              <w:spacing w:after="40"/>
            </w:pPr>
            <w:r>
              <w:rPr>
                <w:sz w:val="18"/>
                <w:szCs w:val="18"/>
              </w:rPr>
              <w:t xml:space="preserve">17</w:t>
            </w:r>
          </w:p>
        </w:tc>
        <w:tc>
          <w:tcPr>
            <w:tcW w:type="dxa" w:w="4048"/>
            <w:tcMar>
              <w:top w:type="dxa" w:w="60"/>
              <w:left w:type="dxa" w:w="90"/>
              <w:bottom w:type="dxa" w:w="60"/>
              <w:right w:type="dxa" w:w="90"/>
            </w:tcMar>
          </w:tcPr>
          <w:p>
            <w:pPr>
              <w:spacing w:after="40"/>
            </w:pPr>
            <w:r>
              <w:rPr>
                <w:sz w:val="18"/>
                <w:szCs w:val="18"/>
              </w:rPr>
              <w:t xml:space="preserve">5.2 Callable sukuk</w:t>
            </w:r>
          </w:p>
        </w:tc>
        <w:tc>
          <w:tcPr>
            <w:tcW w:type="dxa" w:w="964"/>
            <w:tcMar>
              <w:top w:type="dxa" w:w="60"/>
              <w:left w:type="dxa" w:w="90"/>
              <w:bottom w:type="dxa" w:w="60"/>
              <w:right w:type="dxa" w:w="90"/>
            </w:tcMar>
          </w:tcPr>
          <w:p>
            <w:pPr>
              <w:spacing w:after="40"/>
            </w:pPr>
            <w:r>
              <w:rPr>
                <w:sz w:val="18"/>
                <w:szCs w:val="18"/>
              </w:rPr>
              <w:t xml:space="preserve">73</w:t>
            </w:r>
          </w:p>
        </w:tc>
      </w:tr>
      <w:tr>
        <w:tc>
          <w:tcPr>
            <w:tcW w:type="dxa" w:w="3662"/>
            <w:tcMar>
              <w:top w:type="dxa" w:w="60"/>
              <w:left w:type="dxa" w:w="90"/>
              <w:bottom w:type="dxa" w:w="60"/>
              <w:right w:type="dxa" w:w="90"/>
            </w:tcMar>
          </w:tcPr>
          <w:p>
            <w:pPr>
              <w:spacing w:after="40"/>
            </w:pPr>
            <w:r>
              <w:rPr>
                <w:sz w:val="18"/>
                <w:szCs w:val="18"/>
              </w:rPr>
              <w:t xml:space="preserve">3.10 Multiple testing</w:t>
            </w:r>
          </w:p>
        </w:tc>
        <w:tc>
          <w:tcPr>
            <w:tcW w:type="dxa" w:w="964"/>
            <w:tcMar>
              <w:top w:type="dxa" w:w="60"/>
              <w:left w:type="dxa" w:w="90"/>
              <w:bottom w:type="dxa" w:w="60"/>
              <w:right w:type="dxa" w:w="90"/>
            </w:tcMar>
          </w:tcPr>
          <w:p>
            <w:pPr>
              <w:spacing w:after="40"/>
            </w:pPr>
            <w:r>
              <w:rPr>
                <w:sz w:val="18"/>
                <w:szCs w:val="18"/>
              </w:rPr>
              <w:t xml:space="preserve">18</w:t>
            </w:r>
          </w:p>
        </w:tc>
        <w:tc>
          <w:tcPr>
            <w:tcW w:type="dxa" w:w="4048"/>
            <w:tcMar>
              <w:top w:type="dxa" w:w="60"/>
              <w:left w:type="dxa" w:w="90"/>
              <w:bottom w:type="dxa" w:w="60"/>
              <w:right w:type="dxa" w:w="90"/>
            </w:tcMar>
          </w:tcPr>
          <w:p>
            <w:pPr>
              <w:spacing w:after="40"/>
            </w:pPr>
            <w:r>
              <w:rPr>
                <w:sz w:val="18"/>
                <w:szCs w:val="18"/>
              </w:rPr>
              <w:t xml:space="preserve">5.3 Perpetual / AT1 sukuk</w:t>
            </w:r>
          </w:p>
        </w:tc>
        <w:tc>
          <w:tcPr>
            <w:tcW w:type="dxa" w:w="964"/>
            <w:tcMar>
              <w:top w:type="dxa" w:w="60"/>
              <w:left w:type="dxa" w:w="90"/>
              <w:bottom w:type="dxa" w:w="60"/>
              <w:right w:type="dxa" w:w="90"/>
            </w:tcMar>
          </w:tcPr>
          <w:p>
            <w:pPr>
              <w:spacing w:after="40"/>
            </w:pPr>
            <w:r>
              <w:rPr>
                <w:sz w:val="18"/>
                <w:szCs w:val="18"/>
              </w:rPr>
              <w:t xml:space="preserve">76</w:t>
            </w:r>
          </w:p>
        </w:tc>
      </w:tr>
      <w:tr>
        <w:tc>
          <w:tcPr>
            <w:tcW w:type="dxa" w:w="3662"/>
            <w:tcMar>
              <w:top w:type="dxa" w:w="60"/>
              <w:left w:type="dxa" w:w="90"/>
              <w:bottom w:type="dxa" w:w="60"/>
              <w:right w:type="dxa" w:w="90"/>
            </w:tcMar>
          </w:tcPr>
          <w:p>
            <w:pPr>
              <w:spacing w:after="40"/>
            </w:pPr>
            <w:r>
              <w:rPr>
                <w:sz w:val="18"/>
                <w:szCs w:val="18"/>
              </w:rPr>
              <w:t xml:space="preserve">3.11 Label classification and selection</w:t>
            </w:r>
          </w:p>
        </w:tc>
        <w:tc>
          <w:tcPr>
            <w:tcW w:type="dxa" w:w="964"/>
            <w:tcMar>
              <w:top w:type="dxa" w:w="60"/>
              <w:left w:type="dxa" w:w="90"/>
              <w:bottom w:type="dxa" w:w="60"/>
              <w:right w:type="dxa" w:w="90"/>
            </w:tcMar>
          </w:tcPr>
          <w:p>
            <w:pPr>
              <w:spacing w:after="40"/>
            </w:pPr>
            <w:r>
              <w:rPr>
                <w:sz w:val="18"/>
                <w:szCs w:val="18"/>
              </w:rPr>
              <w:t xml:space="preserve">19</w:t>
            </w:r>
          </w:p>
        </w:tc>
        <w:tc>
          <w:tcPr>
            <w:tcW w:type="dxa" w:w="4048"/>
            <w:tcMar>
              <w:top w:type="dxa" w:w="60"/>
              <w:left w:type="dxa" w:w="90"/>
              <w:bottom w:type="dxa" w:w="60"/>
              <w:right w:type="dxa" w:w="90"/>
            </w:tcMar>
          </w:tcPr>
          <w:p>
            <w:pPr>
              <w:spacing w:after="40"/>
            </w:pPr>
            <w:r>
              <w:rPr>
                <w:sz w:val="18"/>
                <w:szCs w:val="18"/>
              </w:rPr>
              <w:t xml:space="preserve">5.4 Sustainability-labelled sukuk</w:t>
            </w:r>
          </w:p>
        </w:tc>
        <w:tc>
          <w:tcPr>
            <w:tcW w:type="dxa" w:w="964"/>
            <w:tcMar>
              <w:top w:type="dxa" w:w="60"/>
              <w:left w:type="dxa" w:w="90"/>
              <w:bottom w:type="dxa" w:w="60"/>
              <w:right w:type="dxa" w:w="90"/>
            </w:tcMar>
          </w:tcPr>
          <w:p>
            <w:pPr>
              <w:spacing w:after="40"/>
            </w:pPr>
            <w:r>
              <w:rPr>
                <w:sz w:val="18"/>
                <w:szCs w:val="18"/>
              </w:rPr>
              <w:t xml:space="preserve">80</w:t>
            </w:r>
          </w:p>
        </w:tc>
      </w:tr>
      <w:tr>
        <w:tc>
          <w:tcPr>
            <w:tcW w:type="dxa" w:w="3662"/>
            <w:tcMar>
              <w:top w:type="dxa" w:w="60"/>
              <w:left w:type="dxa" w:w="90"/>
              <w:bottom w:type="dxa" w:w="60"/>
              <w:right w:type="dxa" w:w="90"/>
            </w:tcMar>
          </w:tcPr>
          <w:p>
            <w:pPr>
              <w:spacing w:after="40"/>
            </w:pPr>
            <w:r>
              <w:rPr>
                <w:sz w:val="18"/>
                <w:szCs w:val="18"/>
              </w:rPr>
              <w:t xml:space="preserve">3.12 Robustness and unavailable tests</w:t>
            </w:r>
          </w:p>
        </w:tc>
        <w:tc>
          <w:tcPr>
            <w:tcW w:type="dxa" w:w="964"/>
            <w:tcMar>
              <w:top w:type="dxa" w:w="60"/>
              <w:left w:type="dxa" w:w="90"/>
              <w:bottom w:type="dxa" w:w="60"/>
              <w:right w:type="dxa" w:w="90"/>
            </w:tcMar>
          </w:tcPr>
          <w:p>
            <w:pPr>
              <w:spacing w:after="40"/>
            </w:pPr>
            <w:r>
              <w:rPr>
                <w:sz w:val="18"/>
                <w:szCs w:val="18"/>
              </w:rPr>
              <w:t xml:space="preserve">20</w:t>
            </w:r>
          </w:p>
        </w:tc>
        <w:tc>
          <w:tcPr>
            <w:tcW w:type="dxa" w:w="4048"/>
            <w:tcMar>
              <w:top w:type="dxa" w:w="60"/>
              <w:left w:type="dxa" w:w="90"/>
              <w:bottom w:type="dxa" w:w="60"/>
              <w:right w:type="dxa" w:w="90"/>
            </w:tcMar>
          </w:tcPr>
          <w:p>
            <w:pPr>
              <w:spacing w:after="40"/>
            </w:pPr>
            <w:r>
              <w:rPr>
                <w:sz w:val="18"/>
                <w:szCs w:val="18"/>
              </w:rPr>
              <w:t xml:space="preserve">5.5 Sukuk-specific institutional considerations</w:t>
            </w:r>
          </w:p>
        </w:tc>
        <w:tc>
          <w:tcPr>
            <w:tcW w:type="dxa" w:w="964"/>
            <w:tcMar>
              <w:top w:type="dxa" w:w="60"/>
              <w:left w:type="dxa" w:w="90"/>
              <w:bottom w:type="dxa" w:w="60"/>
              <w:right w:type="dxa" w:w="90"/>
            </w:tcMar>
          </w:tcPr>
          <w:p>
            <w:pPr>
              <w:spacing w:after="40"/>
            </w:pPr>
            <w:r>
              <w:rPr>
                <w:sz w:val="18"/>
                <w:szCs w:val="18"/>
              </w:rPr>
              <w:t xml:space="preserve">85</w:t>
            </w:r>
          </w:p>
        </w:tc>
      </w:tr>
      <w:tr>
        <w:tc>
          <w:tcPr>
            <w:tcW w:type="dxa" w:w="3662"/>
            <w:tcMar>
              <w:top w:type="dxa" w:w="60"/>
              <w:left w:type="dxa" w:w="90"/>
              <w:bottom w:type="dxa" w:w="60"/>
              <w:right w:type="dxa" w:w="90"/>
            </w:tcMar>
          </w:tcPr>
          <w:p>
            <w:pPr>
              <w:spacing w:after="40"/>
            </w:pPr>
            <w:r>
              <w:rPr>
                <w:sz w:val="18"/>
                <w:szCs w:val="18"/>
              </w:rPr>
              <w:t xml:space="preserve">3.13 Scope: RO3, RO4, H1c</w:t>
            </w:r>
          </w:p>
        </w:tc>
        <w:tc>
          <w:tcPr>
            <w:tcW w:type="dxa" w:w="964"/>
            <w:tcMar>
              <w:top w:type="dxa" w:w="60"/>
              <w:left w:type="dxa" w:w="90"/>
              <w:bottom w:type="dxa" w:w="60"/>
              <w:right w:type="dxa" w:w="90"/>
            </w:tcMar>
          </w:tcPr>
          <w:p>
            <w:pPr>
              <w:spacing w:after="40"/>
            </w:pPr>
            <w:r>
              <w:rPr>
                <w:sz w:val="18"/>
                <w:szCs w:val="18"/>
              </w:rPr>
              <w:t xml:space="preserve">21</w:t>
            </w:r>
          </w:p>
        </w:tc>
        <w:tc>
          <w:tcPr>
            <w:tcW w:type="dxa" w:w="4048"/>
            <w:tcMar>
              <w:top w:type="dxa" w:w="60"/>
              <w:left w:type="dxa" w:w="90"/>
              <w:bottom w:type="dxa" w:w="60"/>
              <w:right w:type="dxa" w:w="90"/>
            </w:tcMar>
          </w:tcPr>
          <w:p>
            <w:pPr>
              <w:spacing w:after="40"/>
            </w:pPr>
            <w:r>
              <w:rPr>
                <w:sz w:val="18"/>
                <w:szCs w:val="18"/>
              </w:rPr>
              <w:t xml:space="preserve">5.6 Rational pricing</w:t>
            </w:r>
          </w:p>
        </w:tc>
        <w:tc>
          <w:tcPr>
            <w:tcW w:type="dxa" w:w="964"/>
            <w:tcMar>
              <w:top w:type="dxa" w:w="60"/>
              <w:left w:type="dxa" w:w="90"/>
              <w:bottom w:type="dxa" w:w="60"/>
              <w:right w:type="dxa" w:w="90"/>
            </w:tcMar>
          </w:tcPr>
          <w:p>
            <w:pPr>
              <w:spacing w:after="40"/>
            </w:pPr>
            <w:r>
              <w:rPr>
                <w:sz w:val="18"/>
                <w:szCs w:val="18"/>
              </w:rPr>
              <w:t xml:space="preserve">86</w:t>
            </w:r>
          </w:p>
        </w:tc>
      </w:tr>
      <w:tr>
        <w:tc>
          <w:tcPr>
            <w:tcW w:type="dxa" w:w="3662"/>
            <w:tcMar>
              <w:top w:type="dxa" w:w="60"/>
              <w:left w:type="dxa" w:w="90"/>
              <w:bottom w:type="dxa" w:w="60"/>
              <w:right w:type="dxa" w:w="90"/>
            </w:tcMar>
          </w:tcPr>
          <w:p>
            <w:pPr>
              <w:spacing w:after="40"/>
            </w:pPr>
            <w:r>
              <w:rPr>
                <w:sz w:val="18"/>
                <w:szCs w:val="18"/>
              </w:rPr>
              <w:t xml:space="preserve">3.14 Reproducibility</w:t>
            </w:r>
          </w:p>
        </w:tc>
        <w:tc>
          <w:tcPr>
            <w:tcW w:type="dxa" w:w="964"/>
            <w:tcMar>
              <w:top w:type="dxa" w:w="60"/>
              <w:left w:type="dxa" w:w="90"/>
              <w:bottom w:type="dxa" w:w="60"/>
              <w:right w:type="dxa" w:w="90"/>
            </w:tcMar>
          </w:tcPr>
          <w:p>
            <w:pPr>
              <w:spacing w:after="40"/>
            </w:pPr>
            <w:r>
              <w:rPr>
                <w:sz w:val="18"/>
                <w:szCs w:val="18"/>
              </w:rPr>
              <w:t xml:space="preserve">23</w:t>
            </w:r>
          </w:p>
        </w:tc>
        <w:tc>
          <w:tcPr>
            <w:tcW w:type="dxa" w:w="4048"/>
            <w:tcMar>
              <w:top w:type="dxa" w:w="60"/>
              <w:left w:type="dxa" w:w="90"/>
              <w:bottom w:type="dxa" w:w="60"/>
              <w:right w:type="dxa" w:w="90"/>
            </w:tcMar>
          </w:tcPr>
          <w:p>
            <w:pPr>
              <w:spacing w:after="40"/>
            </w:pPr>
            <w:r>
              <w:rPr>
                <w:sz w:val="18"/>
                <w:szCs w:val="18"/>
              </w:rPr>
              <w:t xml:space="preserve">5.7–5.9 Contributions</w:t>
            </w:r>
          </w:p>
        </w:tc>
        <w:tc>
          <w:tcPr>
            <w:tcW w:type="dxa" w:w="964"/>
            <w:tcMar>
              <w:top w:type="dxa" w:w="60"/>
              <w:left w:type="dxa" w:w="90"/>
              <w:bottom w:type="dxa" w:w="60"/>
              <w:right w:type="dxa" w:w="90"/>
            </w:tcMar>
          </w:tcPr>
          <w:p>
            <w:pPr>
              <w:spacing w:after="40"/>
            </w:pPr>
            <w:r>
              <w:rPr>
                <w:sz w:val="18"/>
                <w:szCs w:val="18"/>
              </w:rPr>
              <w:t xml:space="preserve">88–89</w:t>
            </w:r>
          </w:p>
        </w:tc>
      </w:tr>
      <w:tr>
        <w:tc>
          <w:tcPr>
            <w:tcW w:type="dxa" w:w="3662"/>
            <w:tcMar>
              <w:top w:type="dxa" w:w="60"/>
              <w:left w:type="dxa" w:w="90"/>
              <w:bottom w:type="dxa" w:w="60"/>
              <w:right w:type="dxa" w:w="90"/>
            </w:tcMar>
          </w:tcPr>
          <w:p>
            <w:pPr>
              <w:spacing w:after="40"/>
            </w:pPr>
            <w:r>
              <w:rPr>
                <w:sz w:val="18"/>
                <w:szCs w:val="18"/>
              </w:rPr>
              <w:t xml:space="preserve">3.15 Reconciliation with proposal (Table 3.2)</w:t>
            </w:r>
          </w:p>
        </w:tc>
        <w:tc>
          <w:tcPr>
            <w:tcW w:type="dxa" w:w="964"/>
            <w:tcMar>
              <w:top w:type="dxa" w:w="60"/>
              <w:left w:type="dxa" w:w="90"/>
              <w:bottom w:type="dxa" w:w="60"/>
              <w:right w:type="dxa" w:w="90"/>
            </w:tcMar>
          </w:tcPr>
          <w:p>
            <w:pPr>
              <w:spacing w:after="40"/>
            </w:pPr>
            <w:r>
              <w:rPr>
                <w:sz w:val="18"/>
                <w:szCs w:val="18"/>
              </w:rPr>
              <w:t xml:space="preserve">23</w:t>
            </w:r>
          </w:p>
        </w:tc>
        <w:tc>
          <w:tcPr>
            <w:tcW w:type="dxa" w:w="4048"/>
            <w:tcMar>
              <w:top w:type="dxa" w:w="60"/>
              <w:left w:type="dxa" w:w="90"/>
              <w:bottom w:type="dxa" w:w="60"/>
              <w:right w:type="dxa" w:w="90"/>
            </w:tcMar>
          </w:tcPr>
          <w:p>
            <w:pPr>
              <w:spacing w:after="40"/>
            </w:pPr>
            <w:r>
              <w:rPr>
                <w:sz w:val="18"/>
                <w:szCs w:val="18"/>
              </w:rPr>
              <w:t xml:space="preserve">5.10 Implications</w:t>
            </w:r>
          </w:p>
        </w:tc>
        <w:tc>
          <w:tcPr>
            <w:tcW w:type="dxa" w:w="964"/>
            <w:tcMar>
              <w:top w:type="dxa" w:w="60"/>
              <w:left w:type="dxa" w:w="90"/>
              <w:bottom w:type="dxa" w:w="60"/>
              <w:right w:type="dxa" w:w="90"/>
            </w:tcMar>
          </w:tcPr>
          <w:p>
            <w:pPr>
              <w:spacing w:after="40"/>
            </w:pPr>
            <w:r>
              <w:rPr>
                <w:sz w:val="18"/>
                <w:szCs w:val="18"/>
              </w:rPr>
              <w:t xml:space="preserve">90</w:t>
            </w:r>
          </w:p>
        </w:tc>
      </w:tr>
      <w:tr>
        <w:tc>
          <w:tcPr>
            <w:tcW w:type="dxa" w:w="3662"/>
            <w:tcMar>
              <w:top w:type="dxa" w:w="60"/>
              <w:left w:type="dxa" w:w="90"/>
              <w:bottom w:type="dxa" w:w="60"/>
              <w:right w:type="dxa" w:w="90"/>
            </w:tcMar>
          </w:tcPr>
          <w:p>
            <w:pPr>
              <w:spacing w:after="40"/>
            </w:pPr>
            <w:r>
              <w:rPr>
                <w:sz w:val="18"/>
                <w:szCs w:val="18"/>
              </w:rPr>
              <w:t xml:space="preserve">3.16 Final universe, sample and horizons</w:t>
            </w:r>
          </w:p>
        </w:tc>
        <w:tc>
          <w:tcPr>
            <w:tcW w:type="dxa" w:w="964"/>
            <w:tcMar>
              <w:top w:type="dxa" w:w="60"/>
              <w:left w:type="dxa" w:w="90"/>
              <w:bottom w:type="dxa" w:w="60"/>
              <w:right w:type="dxa" w:w="90"/>
            </w:tcMar>
          </w:tcPr>
          <w:p>
            <w:pPr>
              <w:spacing w:after="40"/>
            </w:pPr>
            <w:r>
              <w:rPr>
                <w:sz w:val="18"/>
                <w:szCs w:val="18"/>
              </w:rPr>
              <w:t xml:space="preserve">27</w:t>
            </w:r>
          </w:p>
        </w:tc>
        <w:tc>
          <w:tcPr>
            <w:tcW w:type="dxa" w:w="4048"/>
            <w:tcMar>
              <w:top w:type="dxa" w:w="60"/>
              <w:left w:type="dxa" w:w="90"/>
              <w:bottom w:type="dxa" w:w="60"/>
              <w:right w:type="dxa" w:w="90"/>
            </w:tcMar>
          </w:tcPr>
          <w:p>
            <w:pPr>
              <w:spacing w:after="40"/>
            </w:pPr>
            <w:r>
              <w:rPr>
                <w:sz w:val="18"/>
                <w:szCs w:val="18"/>
              </w:rPr>
              <w:t xml:space="preserve">5.11 Limitations</w:t>
            </w:r>
          </w:p>
        </w:tc>
        <w:tc>
          <w:tcPr>
            <w:tcW w:type="dxa" w:w="964"/>
            <w:tcMar>
              <w:top w:type="dxa" w:w="60"/>
              <w:left w:type="dxa" w:w="90"/>
              <w:bottom w:type="dxa" w:w="60"/>
              <w:right w:type="dxa" w:w="90"/>
            </w:tcMar>
          </w:tcPr>
          <w:p>
            <w:pPr>
              <w:spacing w:after="40"/>
            </w:pPr>
            <w:r>
              <w:rPr>
                <w:sz w:val="18"/>
                <w:szCs w:val="18"/>
              </w:rPr>
              <w:t xml:space="preserve">92</w:t>
            </w:r>
          </w:p>
        </w:tc>
      </w:tr>
      <w:tr>
        <w:tc>
          <w:tcPr>
            <w:tcW w:type="dxa" w:w="3662"/>
            <w:tcMar>
              <w:top w:type="dxa" w:w="60"/>
              <w:left w:type="dxa" w:w="90"/>
              <w:bottom w:type="dxa" w:w="60"/>
              <w:right w:type="dxa" w:w="90"/>
            </w:tcMar>
          </w:tcPr>
          <w:p>
            <w:pPr>
              <w:spacing w:after="40"/>
            </w:pPr>
            <w:r>
              <w:rPr>
                <w:sz w:val="18"/>
                <w:szCs w:val="18"/>
              </w:rPr>
              <w:t xml:space="preserve">4.1–4.2 Reading guide; final sample</w:t>
            </w:r>
          </w:p>
        </w:tc>
        <w:tc>
          <w:tcPr>
            <w:tcW w:type="dxa" w:w="964"/>
            <w:tcMar>
              <w:top w:type="dxa" w:w="60"/>
              <w:left w:type="dxa" w:w="90"/>
              <w:bottom w:type="dxa" w:w="60"/>
              <w:right w:type="dxa" w:w="90"/>
            </w:tcMar>
          </w:tcPr>
          <w:p>
            <w:pPr>
              <w:spacing w:after="40"/>
            </w:pPr>
            <w:r>
              <w:rPr>
                <w:sz w:val="18"/>
                <w:szCs w:val="18"/>
              </w:rPr>
              <w:t xml:space="preserve">29–30</w:t>
            </w:r>
          </w:p>
        </w:tc>
        <w:tc>
          <w:tcPr>
            <w:tcW w:type="dxa" w:w="4048"/>
            <w:tcMar>
              <w:top w:type="dxa" w:w="60"/>
              <w:left w:type="dxa" w:w="90"/>
              <w:bottom w:type="dxa" w:w="60"/>
              <w:right w:type="dxa" w:w="90"/>
            </w:tcMar>
          </w:tcPr>
          <w:p>
            <w:pPr>
              <w:spacing w:after="40"/>
            </w:pPr>
            <w:r>
              <w:rPr>
                <w:sz w:val="18"/>
                <w:szCs w:val="18"/>
              </w:rPr>
              <w:t xml:space="preserve">5.12 Conclusion</w:t>
            </w:r>
          </w:p>
        </w:tc>
        <w:tc>
          <w:tcPr>
            <w:tcW w:type="dxa" w:w="964"/>
            <w:tcMar>
              <w:top w:type="dxa" w:w="60"/>
              <w:left w:type="dxa" w:w="90"/>
              <w:bottom w:type="dxa" w:w="60"/>
              <w:right w:type="dxa" w:w="90"/>
            </w:tcMar>
          </w:tcPr>
          <w:p>
            <w:pPr>
              <w:spacing w:after="40"/>
            </w:pPr>
            <w:r>
              <w:rPr>
                <w:sz w:val="18"/>
                <w:szCs w:val="18"/>
              </w:rPr>
              <w:t xml:space="preserve">93</w:t>
            </w:r>
          </w:p>
        </w:tc>
      </w:tr>
      <w:tr>
        <w:tc>
          <w:tcPr>
            <w:tcW w:type="dxa" w:w="3662"/>
            <w:tcMar>
              <w:top w:type="dxa" w:w="60"/>
              <w:left w:type="dxa" w:w="90"/>
              <w:bottom w:type="dxa" w:w="60"/>
              <w:right w:type="dxa" w:w="90"/>
            </w:tcMar>
          </w:tcPr>
          <w:p>
            <w:pPr>
              <w:spacing w:after="40"/>
            </w:pPr>
            <w:r>
              <w:rPr>
                <w:sz w:val="18"/>
                <w:szCs w:val="18"/>
              </w:rPr>
              <w:t xml:space="preserve">4.3 Callable</w:t>
            </w:r>
          </w:p>
        </w:tc>
        <w:tc>
          <w:tcPr>
            <w:tcW w:type="dxa" w:w="964"/>
            <w:tcMar>
              <w:top w:type="dxa" w:w="60"/>
              <w:left w:type="dxa" w:w="90"/>
              <w:bottom w:type="dxa" w:w="60"/>
              <w:right w:type="dxa" w:w="90"/>
            </w:tcMar>
          </w:tcPr>
          <w:p>
            <w:pPr>
              <w:spacing w:after="40"/>
            </w:pPr>
            <w:r>
              <w:rPr>
                <w:sz w:val="18"/>
                <w:szCs w:val="18"/>
              </w:rPr>
              <w:t xml:space="preserve">31</w:t>
            </w:r>
          </w:p>
        </w:tc>
        <w:tc>
          <w:tcPr>
            <w:tcW w:type="dxa" w:w="4048"/>
            <w:tcMar>
              <w:top w:type="dxa" w:w="60"/>
              <w:left w:type="dxa" w:w="90"/>
              <w:bottom w:type="dxa" w:w="60"/>
              <w:right w:type="dxa" w:w="90"/>
            </w:tcMar>
          </w:tcPr>
          <w:p>
            <w:pPr>
              <w:spacing w:after="40"/>
            </w:pPr>
            <w:r>
              <w:rPr>
                <w:sz w:val="18"/>
                <w:szCs w:val="18"/>
              </w:rPr>
              <w:t xml:space="preserve">References</w:t>
            </w:r>
          </w:p>
        </w:tc>
        <w:tc>
          <w:tcPr>
            <w:tcW w:type="dxa" w:w="964"/>
            <w:tcMar>
              <w:top w:type="dxa" w:w="60"/>
              <w:left w:type="dxa" w:w="90"/>
              <w:bottom w:type="dxa" w:w="60"/>
              <w:right w:type="dxa" w:w="90"/>
            </w:tcMar>
          </w:tcPr>
          <w:p>
            <w:pPr>
              <w:spacing w:after="40"/>
            </w:pPr>
            <w:r>
              <w:rPr>
                <w:sz w:val="18"/>
                <w:szCs w:val="18"/>
              </w:rPr>
              <w:t xml:space="preserve">96</w:t>
            </w:r>
          </w:p>
        </w:tc>
      </w:tr>
      <w:tr>
        <w:tc>
          <w:tcPr>
            <w:tcW w:type="dxa" w:w="3662"/>
            <w:tcMar>
              <w:top w:type="dxa" w:w="60"/>
              <w:left w:type="dxa" w:w="90"/>
              <w:bottom w:type="dxa" w:w="60"/>
              <w:right w:type="dxa" w:w="90"/>
            </w:tcMar>
          </w:tcPr>
          <w:p>
            <w:pPr>
              <w:spacing w:after="40"/>
            </w:pPr>
            <w:r>
              <w:rPr>
                <w:sz w:val="18"/>
                <w:szCs w:val="18"/>
              </w:rPr>
              <w:t xml:space="preserve">4.4 Perpetual / AT1</w:t>
            </w:r>
          </w:p>
        </w:tc>
        <w:tc>
          <w:tcPr>
            <w:tcW w:type="dxa" w:w="964"/>
            <w:tcMar>
              <w:top w:type="dxa" w:w="60"/>
              <w:left w:type="dxa" w:w="90"/>
              <w:bottom w:type="dxa" w:w="60"/>
              <w:right w:type="dxa" w:w="90"/>
            </w:tcMar>
          </w:tcPr>
          <w:p>
            <w:pPr>
              <w:spacing w:after="40"/>
            </w:pPr>
            <w:r>
              <w:rPr>
                <w:sz w:val="18"/>
                <w:szCs w:val="18"/>
              </w:rPr>
              <w:t xml:space="preserve">32</w:t>
            </w:r>
          </w:p>
        </w:tc>
        <w:tc>
          <w:tcPr>
            <w:tcW w:type="dxa" w:w="4048"/>
            <w:tcMar>
              <w:top w:type="dxa" w:w="60"/>
              <w:left w:type="dxa" w:w="90"/>
              <w:bottom w:type="dxa" w:w="60"/>
              <w:right w:type="dxa" w:w="90"/>
            </w:tcMar>
          </w:tcPr>
          <w:p>
            <w:pPr>
              <w:spacing w:after="40"/>
            </w:pPr>
            <w:r>
              <w:rPr>
                <w:sz w:val="18"/>
                <w:szCs w:val="18"/>
              </w:rPr>
              <w:t xml:space="preserve">Appendices A–D</w:t>
            </w:r>
          </w:p>
        </w:tc>
        <w:tc>
          <w:tcPr>
            <w:tcW w:type="dxa" w:w="964"/>
            <w:tcMar>
              <w:top w:type="dxa" w:w="60"/>
              <w:left w:type="dxa" w:w="90"/>
              <w:bottom w:type="dxa" w:w="60"/>
              <w:right w:type="dxa" w:w="90"/>
            </w:tcMar>
          </w:tcPr>
          <w:p>
            <w:pPr>
              <w:spacing w:after="40"/>
            </w:pPr>
            <w:r>
              <w:rPr>
                <w:sz w:val="18"/>
                <w:szCs w:val="18"/>
              </w:rPr>
              <w:t xml:space="preserve">106–113</w:t>
            </w:r>
          </w:p>
        </w:tc>
      </w:tr>
      <w:tr>
        <w:tc>
          <w:tcPr>
            <w:tcW w:type="dxa" w:w="3662"/>
            <w:tcMar>
              <w:top w:type="dxa" w:w="60"/>
              <w:left w:type="dxa" w:w="90"/>
              <w:bottom w:type="dxa" w:w="60"/>
              <w:right w:type="dxa" w:w="90"/>
            </w:tcMar>
          </w:tcPr>
          <w:p>
            <w:pPr>
              <w:spacing w:after="40"/>
            </w:pPr>
            <w:r>
              <w:rPr>
                <w:sz w:val="18"/>
                <w:szCs w:val="18"/>
              </w:rPr>
              <w:t xml:space="preserve">4.5 Labelled (Table 4.1 on p. 35)</w:t>
            </w:r>
          </w:p>
        </w:tc>
        <w:tc>
          <w:tcPr>
            <w:tcW w:type="dxa" w:w="964"/>
            <w:tcMar>
              <w:top w:type="dxa" w:w="60"/>
              <w:left w:type="dxa" w:w="90"/>
              <w:bottom w:type="dxa" w:w="60"/>
              <w:right w:type="dxa" w:w="90"/>
            </w:tcMar>
          </w:tcPr>
          <w:p>
            <w:pPr>
              <w:spacing w:after="40"/>
            </w:pPr>
            <w:r>
              <w:rPr>
                <w:sz w:val="18"/>
                <w:szCs w:val="18"/>
              </w:rPr>
              <w:t xml:space="preserve">33</w:t>
            </w:r>
          </w:p>
        </w:tc>
        <w:tc>
          <w:tcPr>
            <w:tcW w:type="dxa" w:w="4048"/>
            <w:tcMar>
              <w:top w:type="dxa" w:w="60"/>
              <w:left w:type="dxa" w:w="90"/>
              <w:bottom w:type="dxa" w:w="60"/>
              <w:right w:type="dxa" w:w="90"/>
            </w:tcMar>
          </w:tcPr>
          <w:p>
            <w:pPr>
              <w:spacing w:after="40"/>
            </w:pPr>
          </w:p>
        </w:tc>
        <w:tc>
          <w:tcPr>
            <w:tcW w:type="dxa" w:w="964"/>
            <w:tcMar>
              <w:top w:type="dxa" w:w="60"/>
              <w:left w:type="dxa" w:w="90"/>
              <w:bottom w:type="dxa" w:w="60"/>
              <w:right w:type="dxa" w:w="90"/>
            </w:tcMar>
          </w:tcPr>
          <w:p>
            <w:pPr>
              <w:spacing w:after="40"/>
            </w:pPr>
          </w:p>
        </w:tc>
      </w:tr>
      <w:tr>
        <w:tc>
          <w:tcPr>
            <w:tcW w:type="dxa" w:w="3662"/>
            <w:tcMar>
              <w:top w:type="dxa" w:w="60"/>
              <w:left w:type="dxa" w:w="90"/>
              <w:bottom w:type="dxa" w:w="60"/>
              <w:right w:type="dxa" w:w="90"/>
            </w:tcMar>
          </w:tcPr>
          <w:p>
            <w:pPr>
              <w:spacing w:after="40"/>
            </w:pPr>
            <w:r>
              <w:rPr>
                <w:sz w:val="18"/>
                <w:szCs w:val="18"/>
              </w:rPr>
              <w:t xml:space="preserve">4.6 Robustness (Tables 4.2–4.3)</w:t>
            </w:r>
          </w:p>
        </w:tc>
        <w:tc>
          <w:tcPr>
            <w:tcW w:type="dxa" w:w="964"/>
            <w:tcMar>
              <w:top w:type="dxa" w:w="60"/>
              <w:left w:type="dxa" w:w="90"/>
              <w:bottom w:type="dxa" w:w="60"/>
              <w:right w:type="dxa" w:w="90"/>
            </w:tcMar>
          </w:tcPr>
          <w:p>
            <w:pPr>
              <w:spacing w:after="40"/>
            </w:pPr>
            <w:r>
              <w:rPr>
                <w:sz w:val="18"/>
                <w:szCs w:val="18"/>
              </w:rPr>
              <w:t xml:space="preserve">35</w:t>
            </w:r>
          </w:p>
        </w:tc>
        <w:tc>
          <w:tcPr>
            <w:tcW w:type="dxa" w:w="4048"/>
            <w:tcMar>
              <w:top w:type="dxa" w:w="60"/>
              <w:left w:type="dxa" w:w="90"/>
              <w:bottom w:type="dxa" w:w="60"/>
              <w:right w:type="dxa" w:w="90"/>
            </w:tcMar>
          </w:tcPr>
          <w:p>
            <w:pPr>
              <w:spacing w:after="40"/>
            </w:pPr>
          </w:p>
        </w:tc>
        <w:tc>
          <w:tcPr>
            <w:tcW w:type="dxa" w:w="964"/>
            <w:tcMar>
              <w:top w:type="dxa" w:w="60"/>
              <w:left w:type="dxa" w:w="90"/>
              <w:bottom w:type="dxa" w:w="60"/>
              <w:right w:type="dxa" w:w="90"/>
            </w:tcMar>
          </w:tcPr>
          <w:p>
            <w:pPr>
              <w:spacing w:after="40"/>
            </w:pPr>
          </w:p>
        </w:tc>
      </w:tr>
    </w:tbl>
    <w:p>
      <w:pPr>
        <w:pStyle w:val="Heading1"/>
        <w:spacing w:after="160" w:before="360"/>
      </w:pPr>
      <w:r>
        <w:t xml:space="preserve">Appendix 2. Literature verification record</w:t>
      </w:r>
    </w:p>
    <w:p>
      <w:pPr>
        <w:spacing w:after="120" w:line="276"/>
      </w:pPr>
      <w:r>
        <w:t xml:space="preserve">Each claim below was checked against the published abstract or indexed full text, via the Scite citation index and the publisher or RePEc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3855"/>
        <w:gridCol w:w="2699"/>
      </w:tblGrid>
      <w:tr>
        <w:trPr>
          <w:tblHeader/>
        </w:trPr>
        <w:tc>
          <w:tcPr>
            <w:tcW w:type="dxa" w:w="3084"/>
            <w:shd w:fill="1F3864" w:color="auto" w:val="clear"/>
            <w:tcMar>
              <w:top w:type="dxa" w:w="60"/>
              <w:left w:type="dxa" w:w="90"/>
              <w:bottom w:type="dxa" w:w="60"/>
              <w:right w:type="dxa" w:w="90"/>
            </w:tcMar>
          </w:tcPr>
          <w:p>
            <w:pPr>
              <w:spacing w:after="40"/>
            </w:pPr>
            <w:r>
              <w:rPr>
                <w:b/>
                <w:bCs/>
                <w:color w:val="FFFFFF"/>
                <w:sz w:val="18"/>
                <w:szCs w:val="18"/>
              </w:rPr>
              <w:t xml:space="preserve">Source</w:t>
            </w:r>
          </w:p>
        </w:tc>
        <w:tc>
          <w:tcPr>
            <w:tcW w:type="dxa" w:w="3855"/>
            <w:shd w:fill="1F3864" w:color="auto" w:val="clear"/>
            <w:tcMar>
              <w:top w:type="dxa" w:w="60"/>
              <w:left w:type="dxa" w:w="90"/>
              <w:bottom w:type="dxa" w:w="60"/>
              <w:right w:type="dxa" w:w="90"/>
            </w:tcMar>
          </w:tcPr>
          <w:p>
            <w:pPr>
              <w:spacing w:after="40"/>
            </w:pPr>
            <w:r>
              <w:rPr>
                <w:b/>
                <w:bCs/>
                <w:color w:val="FFFFFF"/>
                <w:sz w:val="18"/>
                <w:szCs w:val="18"/>
              </w:rPr>
              <w:t xml:space="preserve">Claim checked</w:t>
            </w:r>
          </w:p>
        </w:tc>
        <w:tc>
          <w:tcPr>
            <w:tcW w:type="dxa" w:w="2699"/>
            <w:shd w:fill="1F3864" w:color="auto" w:val="clear"/>
            <w:tcMar>
              <w:top w:type="dxa" w:w="60"/>
              <w:left w:type="dxa" w:w="90"/>
              <w:bottom w:type="dxa" w:w="60"/>
              <w:right w:type="dxa" w:w="90"/>
            </w:tcMar>
          </w:tcPr>
          <w:p>
            <w:pPr>
              <w:spacing w:after="40"/>
            </w:pPr>
            <w:r>
              <w:rPr>
                <w:b/>
                <w:bCs/>
                <w:color w:val="FFFFFF"/>
                <w:sz w:val="18"/>
                <w:szCs w:val="18"/>
              </w:rPr>
              <w:t xml:space="preserve">Verdict</w:t>
            </w:r>
          </w:p>
        </w:tc>
      </w:tr>
      <w:tr>
        <w:tc>
          <w:tcPr>
            <w:tcW w:type="dxa" w:w="3084"/>
            <w:tcMar>
              <w:top w:type="dxa" w:w="60"/>
              <w:left w:type="dxa" w:w="90"/>
              <w:bottom w:type="dxa" w:w="60"/>
              <w:right w:type="dxa" w:w="90"/>
            </w:tcMar>
          </w:tcPr>
          <w:p>
            <w:pPr>
              <w:spacing w:after="40"/>
            </w:pPr>
            <w:r>
              <w:rPr>
                <w:sz w:val="18"/>
                <w:szCs w:val="18"/>
              </w:rPr>
              <w:t xml:space="preserve">Löffler, Petreski &amp; Stephan (2021), Eurasian Economic Review 11(1)</w:t>
            </w:r>
          </w:p>
        </w:tc>
        <w:tc>
          <w:tcPr>
            <w:tcW w:type="dxa" w:w="3855"/>
            <w:tcMar>
              <w:top w:type="dxa" w:w="60"/>
              <w:left w:type="dxa" w:w="90"/>
              <w:bottom w:type="dxa" w:w="60"/>
              <w:right w:type="dxa" w:w="90"/>
            </w:tcMar>
          </w:tcPr>
          <w:p>
            <w:pPr>
              <w:spacing w:after="40"/>
            </w:pPr>
            <w:r>
              <w:rPr>
                <w:sz w:val="18"/>
                <w:szCs w:val="18"/>
              </w:rPr>
              <w:t xml:space="preserve">Greenium of 15–20 bp in primary and secondary markets; PSM and CEM; about 2,000 green vs 180,000 conventional bonds</w:t>
            </w:r>
          </w:p>
        </w:tc>
        <w:tc>
          <w:tcPr>
            <w:tcW w:type="dxa" w:w="2699"/>
            <w:tcMar>
              <w:top w:type="dxa" w:w="60"/>
              <w:left w:type="dxa" w:w="90"/>
              <w:bottom w:type="dxa" w:w="60"/>
              <w:right w:type="dxa" w:w="90"/>
            </w:tcMar>
          </w:tcPr>
          <w:p>
            <w:pPr>
              <w:spacing w:after="40"/>
            </w:pPr>
            <w:r>
              <w:rPr>
                <w:sz w:val="18"/>
                <w:szCs w:val="18"/>
              </w:rPr>
              <w:t xml:space="preserve">Accurate as cited (p. 81)</w:t>
            </w:r>
          </w:p>
        </w:tc>
      </w:tr>
      <w:tr>
        <w:tc>
          <w:tcPr>
            <w:tcW w:type="dxa" w:w="3084"/>
            <w:tcMar>
              <w:top w:type="dxa" w:w="60"/>
              <w:left w:type="dxa" w:w="90"/>
              <w:bottom w:type="dxa" w:w="60"/>
              <w:right w:type="dxa" w:w="90"/>
            </w:tcMar>
          </w:tcPr>
          <w:p>
            <w:pPr>
              <w:spacing w:after="40"/>
            </w:pPr>
            <w:r>
              <w:rPr>
                <w:sz w:val="18"/>
                <w:szCs w:val="18"/>
              </w:rPr>
              <w:t xml:space="preserve">Baker, Bergstresser, Serafeim &amp; Wurgler (2022), Annual Review of Financial Economics 14</w:t>
            </w:r>
          </w:p>
        </w:tc>
        <w:tc>
          <w:tcPr>
            <w:tcW w:type="dxa" w:w="3855"/>
            <w:tcMar>
              <w:top w:type="dxa" w:w="60"/>
              <w:left w:type="dxa" w:w="90"/>
              <w:bottom w:type="dxa" w:w="60"/>
              <w:right w:type="dxa" w:w="90"/>
            </w:tcMar>
          </w:tcPr>
          <w:p>
            <w:pPr>
              <w:spacing w:after="40"/>
            </w:pPr>
            <w:r>
              <w:rPr>
                <w:sz w:val="18"/>
                <w:szCs w:val="18"/>
              </w:rPr>
              <w:t xml:space="preserve">Premium absent at simultaneous same-issuer issuance</w:t>
            </w:r>
          </w:p>
        </w:tc>
        <w:tc>
          <w:tcPr>
            <w:tcW w:type="dxa" w:w="2699"/>
            <w:tcMar>
              <w:top w:type="dxa" w:w="60"/>
              <w:left w:type="dxa" w:w="90"/>
              <w:bottom w:type="dxa" w:w="60"/>
              <w:right w:type="dxa" w:w="90"/>
            </w:tcMar>
          </w:tcPr>
          <w:p>
            <w:pPr>
              <w:spacing w:after="40"/>
            </w:pPr>
            <w:r>
              <w:rPr>
                <w:b/>
                <w:bCs/>
                <w:sz w:val="18"/>
                <w:szCs w:val="18"/>
              </w:rPr>
              <w:t xml:space="preserve">Incomplete</w:t>
            </w:r>
            <w:r>
              <w:rPr>
                <w:sz w:val="18"/>
                <w:szCs w:val="18"/>
              </w:rPr>
              <w:t xml:space="preserve">: abstract adds “a premium emerges over time on the secondary market” (p. 81)</w:t>
            </w:r>
          </w:p>
        </w:tc>
      </w:tr>
      <w:tr>
        <w:tc>
          <w:tcPr>
            <w:tcW w:type="dxa" w:w="3084"/>
            <w:tcMar>
              <w:top w:type="dxa" w:w="60"/>
              <w:left w:type="dxa" w:w="90"/>
              <w:bottom w:type="dxa" w:w="60"/>
              <w:right w:type="dxa" w:w="90"/>
            </w:tcMar>
          </w:tcPr>
          <w:p>
            <w:pPr>
              <w:spacing w:after="40"/>
            </w:pPr>
            <w:r>
              <w:rPr>
                <w:sz w:val="18"/>
                <w:szCs w:val="18"/>
              </w:rPr>
              <w:t xml:space="preserve">Oster (2020), European Journal of Finance 26(15)</w:t>
            </w:r>
          </w:p>
        </w:tc>
        <w:tc>
          <w:tcPr>
            <w:tcW w:type="dxa" w:w="3855"/>
            <w:tcMar>
              <w:top w:type="dxa" w:w="60"/>
              <w:left w:type="dxa" w:w="90"/>
              <w:bottom w:type="dxa" w:w="60"/>
              <w:right w:type="dxa" w:w="90"/>
            </w:tcMar>
          </w:tcPr>
          <w:p>
            <w:pPr>
              <w:spacing w:after="40"/>
            </w:pPr>
            <w:r>
              <w:rPr>
                <w:sz w:val="18"/>
                <w:szCs w:val="18"/>
              </w:rPr>
              <w:t xml:space="preserve">+84.1 bp call premium for unrated Tier 2 CoCos; −12.0 bp for rated</w:t>
            </w:r>
          </w:p>
        </w:tc>
        <w:tc>
          <w:tcPr>
            <w:tcW w:type="dxa" w:w="2699"/>
            <w:tcMar>
              <w:top w:type="dxa" w:w="60"/>
              <w:left w:type="dxa" w:w="90"/>
              <w:bottom w:type="dxa" w:w="60"/>
              <w:right w:type="dxa" w:w="90"/>
            </w:tcMar>
          </w:tcPr>
          <w:p>
            <w:pPr>
              <w:spacing w:after="40"/>
            </w:pPr>
            <w:r>
              <w:rPr>
                <w:sz w:val="18"/>
                <w:szCs w:val="18"/>
              </w:rPr>
              <w:t xml:space="preserve">Accurate (pp. 18, 78); note it concerns Tier 2, measured spread to worst</w:t>
            </w:r>
          </w:p>
        </w:tc>
      </w:tr>
      <w:tr>
        <w:tc>
          <w:tcPr>
            <w:tcW w:type="dxa" w:w="3084"/>
            <w:tcMar>
              <w:top w:type="dxa" w:w="60"/>
              <w:left w:type="dxa" w:w="90"/>
              <w:bottom w:type="dxa" w:w="60"/>
              <w:right w:type="dxa" w:w="90"/>
            </w:tcMar>
          </w:tcPr>
          <w:p>
            <w:pPr>
              <w:spacing w:after="40"/>
            </w:pPr>
            <w:r>
              <w:rPr>
                <w:sz w:val="18"/>
                <w:szCs w:val="18"/>
              </w:rPr>
              <w:t xml:space="preserve">Becker, Campello, Thell &amp; Yan (2024), Review of Finance 28(3)</w:t>
            </w:r>
          </w:p>
        </w:tc>
        <w:tc>
          <w:tcPr>
            <w:tcW w:type="dxa" w:w="3855"/>
            <w:tcMar>
              <w:top w:type="dxa" w:w="60"/>
              <w:left w:type="dxa" w:w="90"/>
              <w:bottom w:type="dxa" w:w="60"/>
              <w:right w:type="dxa" w:w="90"/>
            </w:tcMar>
          </w:tcPr>
          <w:p>
            <w:pPr>
              <w:spacing w:after="40"/>
            </w:pPr>
            <w:r>
              <w:rPr>
                <w:sz w:val="18"/>
                <w:szCs w:val="18"/>
              </w:rPr>
              <w:t xml:space="preserve">Callable bonds have higher yields and lower prices than same issuer-time non-callables</w:t>
            </w:r>
          </w:p>
        </w:tc>
        <w:tc>
          <w:tcPr>
            <w:tcW w:type="dxa" w:w="2699"/>
            <w:tcMar>
              <w:top w:type="dxa" w:w="60"/>
              <w:left w:type="dxa" w:w="90"/>
              <w:bottom w:type="dxa" w:w="60"/>
              <w:right w:type="dxa" w:w="90"/>
            </w:tcMar>
          </w:tcPr>
          <w:p>
            <w:pPr>
              <w:spacing w:after="40"/>
            </w:pPr>
            <w:r>
              <w:rPr>
                <w:sz w:val="18"/>
                <w:szCs w:val="18"/>
              </w:rPr>
              <w:t xml:space="preserve">Accurate (p. 74); add “value of callability determined by credit quality”</w:t>
            </w:r>
          </w:p>
        </w:tc>
      </w:tr>
      <w:tr>
        <w:tc>
          <w:tcPr>
            <w:tcW w:type="dxa" w:w="3084"/>
            <w:tcMar>
              <w:top w:type="dxa" w:w="60"/>
              <w:left w:type="dxa" w:w="90"/>
              <w:bottom w:type="dxa" w:w="60"/>
              <w:right w:type="dxa" w:w="90"/>
            </w:tcMar>
          </w:tcPr>
          <w:p>
            <w:pPr>
              <w:spacing w:after="40"/>
            </w:pPr>
            <w:r>
              <w:rPr>
                <w:sz w:val="18"/>
                <w:szCs w:val="18"/>
              </w:rPr>
              <w:t xml:space="preserve">Ivashchenko &amp; Rockinger (2026), Financial Management 55(1)</w:t>
            </w:r>
          </w:p>
        </w:tc>
        <w:tc>
          <w:tcPr>
            <w:tcW w:type="dxa" w:w="3855"/>
            <w:tcMar>
              <w:top w:type="dxa" w:w="60"/>
              <w:left w:type="dxa" w:w="90"/>
              <w:bottom w:type="dxa" w:w="60"/>
              <w:right w:type="dxa" w:w="90"/>
            </w:tcMar>
          </w:tcPr>
          <w:p>
            <w:pPr>
              <w:spacing w:after="40"/>
            </w:pPr>
            <w:r>
              <w:rPr>
                <w:sz w:val="18"/>
                <w:szCs w:val="18"/>
              </w:rPr>
              <w:t xml:space="preserve">About 40 bp excess returns on call/no-call decision release</w:t>
            </w:r>
          </w:p>
        </w:tc>
        <w:tc>
          <w:tcPr>
            <w:tcW w:type="dxa" w:w="2699"/>
            <w:tcMar>
              <w:top w:type="dxa" w:w="60"/>
              <w:left w:type="dxa" w:w="90"/>
              <w:bottom w:type="dxa" w:w="60"/>
              <w:right w:type="dxa" w:w="90"/>
            </w:tcMar>
          </w:tcPr>
          <w:p>
            <w:pPr>
              <w:spacing w:after="40"/>
            </w:pPr>
            <w:r>
              <w:rPr>
                <w:sz w:val="18"/>
                <w:szCs w:val="18"/>
              </w:rPr>
              <w:t xml:space="preserve">Accurate (p. 74); published online 2025</w:t>
            </w:r>
          </w:p>
        </w:tc>
      </w:tr>
      <w:tr>
        <w:tc>
          <w:tcPr>
            <w:tcW w:type="dxa" w:w="3084"/>
            <w:tcMar>
              <w:top w:type="dxa" w:w="60"/>
              <w:left w:type="dxa" w:w="90"/>
              <w:bottom w:type="dxa" w:w="60"/>
              <w:right w:type="dxa" w:w="90"/>
            </w:tcMar>
          </w:tcPr>
          <w:p>
            <w:pPr>
              <w:spacing w:after="40"/>
            </w:pPr>
            <w:r>
              <w:rPr>
                <w:sz w:val="18"/>
                <w:szCs w:val="18"/>
              </w:rPr>
              <w:t xml:space="preserve">Kind, Oster &amp; Peter (2022), European Financial Management 28(2)</w:t>
            </w:r>
          </w:p>
        </w:tc>
        <w:tc>
          <w:tcPr>
            <w:tcW w:type="dxa" w:w="3855"/>
            <w:tcMar>
              <w:top w:type="dxa" w:w="60"/>
              <w:left w:type="dxa" w:w="90"/>
              <w:bottom w:type="dxa" w:w="60"/>
              <w:right w:type="dxa" w:w="90"/>
            </w:tcMar>
          </w:tcPr>
          <w:p>
            <w:pPr>
              <w:spacing w:after="40"/>
            </w:pPr>
            <w:r>
              <w:rPr>
                <w:sz w:val="18"/>
                <w:szCs w:val="18"/>
              </w:rPr>
              <w:t xml:space="preserve">Regulatory framework, security design and market variables drive AT1 CoCo spreads</w:t>
            </w:r>
          </w:p>
        </w:tc>
        <w:tc>
          <w:tcPr>
            <w:tcW w:type="dxa" w:w="2699"/>
            <w:tcMar>
              <w:top w:type="dxa" w:w="60"/>
              <w:left w:type="dxa" w:w="90"/>
              <w:bottom w:type="dxa" w:w="60"/>
              <w:right w:type="dxa" w:w="90"/>
            </w:tcMar>
          </w:tcPr>
          <w:p>
            <w:pPr>
              <w:spacing w:after="40"/>
            </w:pPr>
            <w:r>
              <w:rPr>
                <w:sz w:val="18"/>
                <w:szCs w:val="18"/>
              </w:rPr>
              <w:t xml:space="preserve">Accurate (p. 78); also finds the MDA regime matters and determinants are stable through COVID stress</w:t>
            </w:r>
          </w:p>
        </w:tc>
      </w:tr>
      <w:tr>
        <w:tc>
          <w:tcPr>
            <w:tcW w:type="dxa" w:w="3084"/>
            <w:tcMar>
              <w:top w:type="dxa" w:w="60"/>
              <w:left w:type="dxa" w:w="90"/>
              <w:bottom w:type="dxa" w:w="60"/>
              <w:right w:type="dxa" w:w="90"/>
            </w:tcMar>
          </w:tcPr>
          <w:p>
            <w:pPr>
              <w:spacing w:after="40"/>
            </w:pPr>
            <w:r>
              <w:rPr>
                <w:sz w:val="18"/>
                <w:szCs w:val="18"/>
              </w:rPr>
              <w:t xml:space="preserve">Pirgaip &amp; Arslan-Ayaydin (2024), IJIMEFM 17(3)</w:t>
            </w:r>
          </w:p>
        </w:tc>
        <w:tc>
          <w:tcPr>
            <w:tcW w:type="dxa" w:w="3855"/>
            <w:tcMar>
              <w:top w:type="dxa" w:w="60"/>
              <w:left w:type="dxa" w:w="90"/>
              <w:bottom w:type="dxa" w:w="60"/>
              <w:right w:type="dxa" w:w="90"/>
            </w:tcMar>
          </w:tcPr>
          <w:p>
            <w:pPr>
              <w:spacing w:after="40"/>
            </w:pPr>
            <w:r>
              <w:rPr>
                <w:sz w:val="18"/>
                <w:szCs w:val="18"/>
              </w:rPr>
              <w:t xml:space="preserve">Primary-market greenium in green sukuk; PSM; 2017–2022; no bp figure in the abstract</w:t>
            </w:r>
          </w:p>
        </w:tc>
        <w:tc>
          <w:tcPr>
            <w:tcW w:type="dxa" w:w="2699"/>
            <w:tcMar>
              <w:top w:type="dxa" w:w="60"/>
              <w:left w:type="dxa" w:w="90"/>
              <w:bottom w:type="dxa" w:w="60"/>
              <w:right w:type="dxa" w:w="90"/>
            </w:tcMar>
          </w:tcPr>
          <w:p>
            <w:pPr>
              <w:spacing w:after="40"/>
            </w:pPr>
            <w:r>
              <w:rPr>
                <w:sz w:val="18"/>
                <w:szCs w:val="18"/>
              </w:rPr>
              <w:t xml:space="preserve">Accurate (p. 83)</w:t>
            </w:r>
          </w:p>
        </w:tc>
      </w:tr>
      <w:tr>
        <w:tc>
          <w:tcPr>
            <w:tcW w:type="dxa" w:w="3084"/>
            <w:tcMar>
              <w:top w:type="dxa" w:w="60"/>
              <w:left w:type="dxa" w:w="90"/>
              <w:bottom w:type="dxa" w:w="60"/>
              <w:right w:type="dxa" w:w="90"/>
            </w:tcMar>
          </w:tcPr>
          <w:p>
            <w:pPr>
              <w:spacing w:after="40"/>
            </w:pPr>
            <w:r>
              <w:rPr>
                <w:sz w:val="18"/>
                <w:szCs w:val="18"/>
              </w:rPr>
              <w:t xml:space="preserve">Ariff, Chazi, Safari &amp; Zarei (2017), Journal of Emerging Market Finance 16(2)</w:t>
            </w:r>
          </w:p>
        </w:tc>
        <w:tc>
          <w:tcPr>
            <w:tcW w:type="dxa" w:w="3855"/>
            <w:tcMar>
              <w:top w:type="dxa" w:w="60"/>
              <w:left w:type="dxa" w:w="90"/>
              <w:bottom w:type="dxa" w:w="60"/>
              <w:right w:type="dxa" w:w="90"/>
            </w:tcMar>
          </w:tcPr>
          <w:p>
            <w:pPr>
              <w:spacing w:after="40"/>
            </w:pPr>
            <w:r>
              <w:rPr>
                <w:sz w:val="18"/>
                <w:szCs w:val="18"/>
              </w:rPr>
              <w:t xml:space="preserve">Sovereign sukuk yield higher than treasuries; corporate sukuk slightly lower</w:t>
            </w:r>
          </w:p>
        </w:tc>
        <w:tc>
          <w:tcPr>
            <w:tcW w:type="dxa" w:w="2699"/>
            <w:tcMar>
              <w:top w:type="dxa" w:w="60"/>
              <w:left w:type="dxa" w:w="90"/>
              <w:bottom w:type="dxa" w:w="60"/>
              <w:right w:type="dxa" w:w="90"/>
            </w:tcMar>
          </w:tcPr>
          <w:p>
            <w:pPr>
              <w:spacing w:after="40"/>
            </w:pPr>
            <w:r>
              <w:rPr>
                <w:sz w:val="18"/>
                <w:szCs w:val="18"/>
              </w:rPr>
              <w:t xml:space="preserve">Accurate (p. 86)</w:t>
            </w:r>
          </w:p>
        </w:tc>
      </w:tr>
      <w:tr>
        <w:tc>
          <w:tcPr>
            <w:tcW w:type="dxa" w:w="3084"/>
            <w:tcMar>
              <w:top w:type="dxa" w:w="60"/>
              <w:left w:type="dxa" w:w="90"/>
              <w:bottom w:type="dxa" w:w="60"/>
              <w:right w:type="dxa" w:w="90"/>
            </w:tcMar>
          </w:tcPr>
          <w:p>
            <w:pPr>
              <w:spacing w:after="40"/>
            </w:pPr>
            <w:r>
              <w:rPr>
                <w:sz w:val="18"/>
                <w:szCs w:val="18"/>
              </w:rPr>
              <w:t xml:space="preserve">Immel, Hachenberg, Kiesel &amp; Schiereck (2021), Journal of Asset Management 22(2)</w:t>
            </w:r>
          </w:p>
        </w:tc>
        <w:tc>
          <w:tcPr>
            <w:tcW w:type="dxa" w:w="3855"/>
            <w:tcMar>
              <w:top w:type="dxa" w:w="60"/>
              <w:left w:type="dxa" w:w="90"/>
              <w:bottom w:type="dxa" w:w="60"/>
              <w:right w:type="dxa" w:w="90"/>
            </w:tcMar>
          </w:tcPr>
          <w:p>
            <w:pPr>
              <w:spacing w:after="40"/>
            </w:pPr>
            <w:r>
              <w:rPr>
                <w:sz w:val="18"/>
                <w:szCs w:val="18"/>
              </w:rPr>
              <w:t xml:space="preserve">Bibliographic details</w:t>
            </w:r>
          </w:p>
        </w:tc>
        <w:tc>
          <w:tcPr>
            <w:tcW w:type="dxa" w:w="2699"/>
            <w:tcMar>
              <w:top w:type="dxa" w:w="60"/>
              <w:left w:type="dxa" w:w="90"/>
              <w:bottom w:type="dxa" w:w="60"/>
              <w:right w:type="dxa" w:w="90"/>
            </w:tcMar>
          </w:tcPr>
          <w:p>
            <w:pPr>
              <w:spacing w:after="40"/>
            </w:pPr>
            <w:r>
              <w:rPr>
                <w:sz w:val="18"/>
                <w:szCs w:val="18"/>
              </w:rPr>
              <w:t xml:space="preserve">Exists as cited; the governance-pillar claim was not verifiable from the abstract; check against full text</w:t>
            </w:r>
          </w:p>
        </w:tc>
      </w:tr>
      <w:tr>
        <w:tc>
          <w:tcPr>
            <w:tcW w:type="dxa" w:w="3084"/>
            <w:tcMar>
              <w:top w:type="dxa" w:w="60"/>
              <w:left w:type="dxa" w:w="90"/>
              <w:bottom w:type="dxa" w:w="60"/>
              <w:right w:type="dxa" w:w="90"/>
            </w:tcMar>
          </w:tcPr>
          <w:p>
            <w:pPr>
              <w:spacing w:after="40"/>
            </w:pPr>
            <w:r>
              <w:rPr>
                <w:sz w:val="18"/>
                <w:szCs w:val="18"/>
              </w:rPr>
              <w:t xml:space="preserve">Zerbib (2019); Larcker &amp; Watts (2020); MacAskill et al. (2021)</w:t>
            </w:r>
          </w:p>
        </w:tc>
        <w:tc>
          <w:tcPr>
            <w:tcW w:type="dxa" w:w="3855"/>
            <w:tcMar>
              <w:top w:type="dxa" w:w="60"/>
              <w:left w:type="dxa" w:w="90"/>
              <w:bottom w:type="dxa" w:w="60"/>
              <w:right w:type="dxa" w:w="90"/>
            </w:tcMar>
          </w:tcPr>
          <w:p>
            <w:pPr>
              <w:spacing w:after="40"/>
            </w:pPr>
            <w:r>
              <w:rPr>
                <w:sz w:val="18"/>
                <w:szCs w:val="18"/>
              </w:rPr>
              <w:t xml:space="preserve">Bibliographic details</w:t>
            </w:r>
          </w:p>
        </w:tc>
        <w:tc>
          <w:tcPr>
            <w:tcW w:type="dxa" w:w="2699"/>
            <w:tcMar>
              <w:top w:type="dxa" w:w="60"/>
              <w:left w:type="dxa" w:w="90"/>
              <w:bottom w:type="dxa" w:w="60"/>
              <w:right w:type="dxa" w:w="90"/>
            </w:tcMar>
          </w:tcPr>
          <w:p>
            <w:pPr>
              <w:spacing w:after="40"/>
            </w:pPr>
            <w:r>
              <w:rPr>
                <w:sz w:val="18"/>
                <w:szCs w:val="18"/>
              </w:rPr>
              <w:t xml:space="preserve">Exist as cited; magnitudes not re-verified from full text</w:t>
            </w:r>
          </w:p>
        </w:tc>
      </w:tr>
      <w:tr>
        <w:tc>
          <w:tcPr>
            <w:tcW w:type="dxa" w:w="3084"/>
            <w:tcMar>
              <w:top w:type="dxa" w:w="60"/>
              <w:left w:type="dxa" w:w="90"/>
              <w:bottom w:type="dxa" w:w="60"/>
              <w:right w:type="dxa" w:w="90"/>
            </w:tcMar>
          </w:tcPr>
          <w:p>
            <w:pPr>
              <w:spacing w:after="40"/>
            </w:pPr>
            <w:r>
              <w:rPr>
                <w:sz w:val="18"/>
                <w:szCs w:val="18"/>
              </w:rPr>
              <w:t xml:space="preserve">Bader et al. (2026); Purnama et al. (2026)</w:t>
            </w:r>
          </w:p>
        </w:tc>
        <w:tc>
          <w:tcPr>
            <w:tcW w:type="dxa" w:w="3855"/>
            <w:tcMar>
              <w:top w:type="dxa" w:w="60"/>
              <w:left w:type="dxa" w:w="90"/>
              <w:bottom w:type="dxa" w:w="60"/>
              <w:right w:type="dxa" w:w="90"/>
            </w:tcMar>
          </w:tcPr>
          <w:p>
            <w:pPr>
              <w:spacing w:after="40"/>
            </w:pPr>
            <w:r>
              <w:rPr>
                <w:sz w:val="18"/>
                <w:szCs w:val="18"/>
              </w:rPr>
              <w:t xml:space="preserve">Existence</w:t>
            </w:r>
          </w:p>
        </w:tc>
        <w:tc>
          <w:tcPr>
            <w:tcW w:type="dxa" w:w="2699"/>
            <w:tcMar>
              <w:top w:type="dxa" w:w="60"/>
              <w:left w:type="dxa" w:w="90"/>
              <w:bottom w:type="dxa" w:w="60"/>
              <w:right w:type="dxa" w:w="90"/>
            </w:tcMar>
          </w:tcPr>
          <w:p>
            <w:pPr>
              <w:spacing w:after="40"/>
            </w:pPr>
            <w:r>
              <w:rPr>
                <w:sz w:val="18"/>
                <w:szCs w:val="18"/>
              </w:rPr>
              <w:t xml:space="preserve">Both exist (publisher and indexing pages located)</w:t>
            </w:r>
          </w:p>
        </w:tc>
      </w:tr>
      <w:tr>
        <w:tc>
          <w:tcPr>
            <w:tcW w:type="dxa" w:w="3084"/>
            <w:tcMar>
              <w:top w:type="dxa" w:w="60"/>
              <w:left w:type="dxa" w:w="90"/>
              <w:bottom w:type="dxa" w:w="60"/>
              <w:right w:type="dxa" w:w="90"/>
            </w:tcMar>
          </w:tcPr>
          <w:p>
            <w:pPr>
              <w:spacing w:after="40"/>
            </w:pPr>
            <w:r>
              <w:rPr>
                <w:sz w:val="18"/>
                <w:szCs w:val="18"/>
              </w:rPr>
              <w:t xml:space="preserve">New sources recommended in this review</w:t>
            </w:r>
          </w:p>
        </w:tc>
        <w:tc>
          <w:tcPr>
            <w:tcW w:type="dxa" w:w="3855"/>
            <w:tcMar>
              <w:top w:type="dxa" w:w="60"/>
              <w:left w:type="dxa" w:w="90"/>
              <w:bottom w:type="dxa" w:w="60"/>
              <w:right w:type="dxa" w:w="90"/>
            </w:tcMar>
          </w:tcPr>
          <w:p>
            <w:pPr>
              <w:spacing w:after="40"/>
            </w:pPr>
            <w:r>
              <w:rPr>
                <w:sz w:val="18"/>
                <w:szCs w:val="18"/>
              </w:rPr>
              <w:t xml:space="preserve">Fatica, Panzica &amp; Rancan (2021) JFS 54; Dorfleitner, Utz &amp; Zhang (2021) RMS 16(3); Asmuni &amp; Tan (2020) JEMF 20(2); Alkadi (2024) RAF 23(4); Salhani &amp; Mouselli (2022) JFRA 22(4); Nasr &amp; Hasan (2024) IJIMEFM 17(4); Bolton, Jiang &amp; Kartasheva (2023) JACF 35(2); Latif, Husodo &amp; Hendranastiti (2026) SSRN; Solon, Haider &amp; Wooldridge (2015) JHR 50(2); Abadie, Athey, Imbens &amp; Wooldridge (2023) QJE 138(1); Abadie &amp; Imbens (2011) JBES 29(1)</w:t>
            </w:r>
          </w:p>
        </w:tc>
        <w:tc>
          <w:tcPr>
            <w:tcW w:type="dxa" w:w="2699"/>
            <w:tcMar>
              <w:top w:type="dxa" w:w="60"/>
              <w:left w:type="dxa" w:w="90"/>
              <w:bottom w:type="dxa" w:w="60"/>
              <w:right w:type="dxa" w:w="90"/>
            </w:tcMar>
          </w:tcPr>
          <w:p>
            <w:pPr>
              <w:spacing w:after="40"/>
            </w:pPr>
            <w:r>
              <w:rPr>
                <w:sz w:val="18"/>
                <w:szCs w:val="18"/>
              </w:rPr>
              <w:t xml:space="preserve">All located in the Scite index; claims used above were taken from their abstracts or indexed text</w:t>
            </w:r>
          </w:p>
        </w:tc>
      </w:tr>
    </w:tbl>
    <w:p>
      <w:pPr>
        <w:pStyle w:val="Heading2"/>
        <w:spacing w:after="120" w:before="240"/>
      </w:pPr>
      <w:r>
        <w:t xml:space="preserve">References cited in this review (not already in the draft)</w:t>
      </w:r>
    </w:p>
    <w:p>
      <w:pPr>
        <w:spacing w:after="80"/>
        <w:ind w:left="567" w:hanging="567"/>
      </w:pPr>
      <w:r>
        <w:rPr>
          <w:sz w:val="20"/>
          <w:szCs w:val="20"/>
        </w:rPr>
        <w:t xml:space="preserve">Abadie, A., Athey, S., Imbens, G. W., &amp; Wooldridge, J. M. (2023). When should you adjust standard errors for clustering? </w:t>
      </w:r>
      <w:r>
        <w:rPr>
          <w:i/>
          <w:iCs/>
          <w:sz w:val="20"/>
          <w:szCs w:val="20"/>
        </w:rPr>
        <w:t xml:space="preserve">The Quarterly Journal of Economics, 138</w:t>
      </w:r>
      <w:r>
        <w:rPr>
          <w:sz w:val="20"/>
          <w:szCs w:val="20"/>
        </w:rPr>
        <w:t xml:space="preserve">(1), 1–35. https://doi.org/10.1093/qje/qjac038</w:t>
      </w:r>
    </w:p>
    <w:p>
      <w:pPr>
        <w:spacing w:after="80"/>
        <w:ind w:left="567" w:hanging="567"/>
      </w:pPr>
      <w:r>
        <w:rPr>
          <w:sz w:val="20"/>
          <w:szCs w:val="20"/>
        </w:rPr>
        <w:t xml:space="preserve">Abadie, A., &amp; Imbens, G. W. (2011). Bias-corrected matching estimators for average treatment effects. </w:t>
      </w:r>
      <w:r>
        <w:rPr>
          <w:i/>
          <w:iCs/>
          <w:sz w:val="20"/>
          <w:szCs w:val="20"/>
        </w:rPr>
        <w:t xml:space="preserve">Journal of Business &amp; Economic Statistics, 29</w:t>
      </w:r>
      <w:r>
        <w:rPr>
          <w:sz w:val="20"/>
          <w:szCs w:val="20"/>
        </w:rPr>
        <w:t xml:space="preserve">(1), 1–11. https://doi.org/10.1198/jbes.2009.07333</w:t>
      </w:r>
    </w:p>
    <w:p>
      <w:pPr>
        <w:spacing w:after="80"/>
        <w:ind w:left="567" w:hanging="567"/>
      </w:pPr>
      <w:r>
        <w:rPr>
          <w:sz w:val="20"/>
          <w:szCs w:val="20"/>
        </w:rPr>
        <w:t xml:space="preserve">Alkadi, R. S. (2024). Towards a sustainable future: A comprehensive review of green sukuk. </w:t>
      </w:r>
      <w:r>
        <w:rPr>
          <w:i/>
          <w:iCs/>
          <w:sz w:val="20"/>
          <w:szCs w:val="20"/>
        </w:rPr>
        <w:t xml:space="preserve">Review of Accounting and Finance, 23</w:t>
      </w:r>
      <w:r>
        <w:rPr>
          <w:sz w:val="20"/>
          <w:szCs w:val="20"/>
        </w:rPr>
        <w:t xml:space="preserve">(4), 467–488. https://doi.org/10.1108/RAF-03-2023-0105</w:t>
      </w:r>
    </w:p>
    <w:p>
      <w:pPr>
        <w:spacing w:after="80"/>
        <w:ind w:left="567" w:hanging="567"/>
      </w:pPr>
      <w:r>
        <w:rPr>
          <w:sz w:val="20"/>
          <w:szCs w:val="20"/>
        </w:rPr>
        <w:t xml:space="preserve">Asmuni, N. H., &amp; Tan, K. S. (2020). Exploring the yield spread between sukuk and conventional bonds in Malaysia. </w:t>
      </w:r>
      <w:r>
        <w:rPr>
          <w:i/>
          <w:iCs/>
          <w:sz w:val="20"/>
          <w:szCs w:val="20"/>
        </w:rPr>
        <w:t xml:space="preserve">Journal of Emerging Market Finance, 20</w:t>
      </w:r>
      <w:r>
        <w:rPr>
          <w:sz w:val="20"/>
          <w:szCs w:val="20"/>
        </w:rPr>
        <w:t xml:space="preserve">(2), 165–191. https://doi.org/10.1177/0972652720969519</w:t>
      </w:r>
    </w:p>
    <w:p>
      <w:pPr>
        <w:spacing w:after="80"/>
        <w:ind w:left="567" w:hanging="567"/>
      </w:pPr>
      <w:r>
        <w:rPr>
          <w:sz w:val="20"/>
          <w:szCs w:val="20"/>
        </w:rPr>
        <w:t xml:space="preserve">Bolton, P., Jiang, W., &amp; Kartasheva, A. V. (2023). The Credit Suisse CoCo wipeout: Facts, misperceptions, and lessons for financial regulation. </w:t>
      </w:r>
      <w:r>
        <w:rPr>
          <w:i/>
          <w:iCs/>
          <w:sz w:val="20"/>
          <w:szCs w:val="20"/>
        </w:rPr>
        <w:t xml:space="preserve">Journal of Applied Corporate Finance, 35</w:t>
      </w:r>
      <w:r>
        <w:rPr>
          <w:sz w:val="20"/>
          <w:szCs w:val="20"/>
        </w:rPr>
        <w:t xml:space="preserve">(2), 66–74. https://doi.org/10.1111/jacf.12553</w:t>
      </w:r>
    </w:p>
    <w:p>
      <w:pPr>
        <w:spacing w:after="80"/>
        <w:ind w:left="567" w:hanging="567"/>
      </w:pPr>
      <w:r>
        <w:rPr>
          <w:sz w:val="20"/>
          <w:szCs w:val="20"/>
        </w:rPr>
        <w:t xml:space="preserve">Dorfleitner, G., Utz, S., &amp; Zhang, R. (2021). The pricing of green bonds: External reviews and the shades of green. </w:t>
      </w:r>
      <w:r>
        <w:rPr>
          <w:i/>
          <w:iCs/>
          <w:sz w:val="20"/>
          <w:szCs w:val="20"/>
        </w:rPr>
        <w:t xml:space="preserve">Review of Managerial Science, 16</w:t>
      </w:r>
      <w:r>
        <w:rPr>
          <w:sz w:val="20"/>
          <w:szCs w:val="20"/>
        </w:rPr>
        <w:t xml:space="preserve">(3), 797–834. https://doi.org/10.1007/s11846-021-00458-9</w:t>
      </w:r>
    </w:p>
    <w:p>
      <w:pPr>
        <w:spacing w:after="80"/>
        <w:ind w:left="567" w:hanging="567"/>
      </w:pPr>
      <w:r>
        <w:rPr>
          <w:sz w:val="20"/>
          <w:szCs w:val="20"/>
        </w:rPr>
        <w:t xml:space="preserve">Fatica, S., Panzica, R., &amp; Rancan, M. (2021). The pricing of green bonds: Are financial institutions special? </w:t>
      </w:r>
      <w:r>
        <w:rPr>
          <w:i/>
          <w:iCs/>
          <w:sz w:val="20"/>
          <w:szCs w:val="20"/>
        </w:rPr>
        <w:t xml:space="preserve">Journal of Financial Stability, 54</w:t>
      </w:r>
      <w:r>
        <w:rPr>
          <w:sz w:val="20"/>
          <w:szCs w:val="20"/>
        </w:rPr>
        <w:t xml:space="preserve">, 100873. https://doi.org/10.1016/j.jfs.2021.100873</w:t>
      </w:r>
    </w:p>
    <w:p>
      <w:pPr>
        <w:spacing w:after="80"/>
        <w:ind w:left="567" w:hanging="567"/>
      </w:pPr>
      <w:r>
        <w:rPr>
          <w:sz w:val="20"/>
          <w:szCs w:val="20"/>
        </w:rPr>
        <w:t xml:space="preserve">Latif, A., Husodo, Z., &amp; Hendranastiti, N. D. (2026). Green sukuk and climate finance: Evidence from Indonesia [Working paper]. SSRN. https://doi.org/10.2139/ssrn.6169811</w:t>
      </w:r>
    </w:p>
    <w:p>
      <w:pPr>
        <w:spacing w:after="80"/>
        <w:ind w:left="567" w:hanging="567"/>
      </w:pPr>
      <w:r>
        <w:rPr>
          <w:sz w:val="20"/>
          <w:szCs w:val="20"/>
        </w:rPr>
        <w:t xml:space="preserve">Nasr, W. M. A., &amp; Hasan, A. (2024). Examining preference shares from the Shari’ah perspective: A systematic literature review. </w:t>
      </w:r>
      <w:r>
        <w:rPr>
          <w:i/>
          <w:iCs/>
          <w:sz w:val="20"/>
          <w:szCs w:val="20"/>
        </w:rPr>
        <w:t xml:space="preserve">International Journal of Islamic and Middle Eastern Finance and Management, 17</w:t>
      </w:r>
      <w:r>
        <w:rPr>
          <w:sz w:val="20"/>
          <w:szCs w:val="20"/>
        </w:rPr>
        <w:t xml:space="preserve">(4), 621–635. https://doi.org/10.1108/IMEFM-08-2023-0302</w:t>
      </w:r>
    </w:p>
    <w:p>
      <w:pPr>
        <w:spacing w:after="80"/>
        <w:ind w:left="567" w:hanging="567"/>
      </w:pPr>
      <w:r>
        <w:rPr>
          <w:sz w:val="20"/>
          <w:szCs w:val="20"/>
        </w:rPr>
        <w:t xml:space="preserve">Salhani, A., &amp; Mouselli, S. (2022). The impact of Tier 1 sukuk (Islamic bonds) on the profitability of UAE Islamic banks. </w:t>
      </w:r>
      <w:r>
        <w:rPr>
          <w:i/>
          <w:iCs/>
          <w:sz w:val="20"/>
          <w:szCs w:val="20"/>
        </w:rPr>
        <w:t xml:space="preserve">Journal of Financial Reporting and Accounting, 22</w:t>
      </w:r>
      <w:r>
        <w:rPr>
          <w:sz w:val="20"/>
          <w:szCs w:val="20"/>
        </w:rPr>
        <w:t xml:space="preserve">(4), 796–810. https://doi.org/10.1108/JFRA-12-2021-0461</w:t>
      </w:r>
    </w:p>
    <w:p>
      <w:pPr>
        <w:spacing w:after="80"/>
        <w:ind w:left="567" w:hanging="567"/>
      </w:pPr>
      <w:r>
        <w:rPr>
          <w:sz w:val="20"/>
          <w:szCs w:val="20"/>
        </w:rPr>
        <w:t xml:space="preserve">Solon, G., Haider, S. J., &amp; Wooldridge, J. M. (2015). What are we weighting for? </w:t>
      </w:r>
      <w:r>
        <w:rPr>
          <w:i/>
          <w:iCs/>
          <w:sz w:val="20"/>
          <w:szCs w:val="20"/>
        </w:rPr>
        <w:t xml:space="preserve">Journal of Human Resources, 50</w:t>
      </w:r>
      <w:r>
        <w:rPr>
          <w:sz w:val="20"/>
          <w:szCs w:val="20"/>
        </w:rPr>
        <w:t xml:space="preserve">(2), 301–316. https://doi.org/10.3368/jhr.50.2.301</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Supervisory review — Chapters 3–5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abstractNum w:abstractNumId="6" w15:restartNumberingAfterBreak="0">
    <w:multiLevelType w:val="hybridMultilevel"/>
    <w:lvl w:ilvl="0" w:tentative="1">
      <w:start w:val="1"/>
      <w:numFmt w:val="decimal"/>
      <w:lvlText w:val="%1."/>
      <w:lvlJc w:val="left"/>
      <w:pPr>
        <w:ind w:left="567" w:hanging="340"/>
      </w:pPr>
    </w:lvl>
  </w:abstractNum>
  <w:abstractNum w:abstractNumId="7"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5597"/>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1F386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Supervisory Review — Draft Chapters 3–5</dc:title>
  <dc:creator>Supervisory review</dc:creator>
  <cp:lastModifiedBy>Un-named</cp:lastModifiedBy>
  <cp:revision>1</cp:revision>
  <dcterms:created xsi:type="dcterms:W3CDTF">2026-09-29T15:57:49.536Z</dcterms:created>
  <dcterms:modified xsi:type="dcterms:W3CDTF">2026-09-29T15:57:49.536Z</dcterms:modified>
</cp:coreProperties>
</file>

<file path=docProps/custom.xml><?xml version="1.0" encoding="utf-8"?>
<Properties xmlns="http://schemas.openxmlformats.org/officeDocument/2006/custom-properties" xmlns:vt="http://schemas.openxmlformats.org/officeDocument/2006/docPropsVTypes"/>
</file>