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Supervisor’s comments on draft Chapters 3–5</w:t>
      </w:r>
    </w:p>
    <w:p>
      <w:pPr>
        <w:spacing w:after="40"/>
      </w:pPr>
      <w:r>
        <w:rPr>
          <w:i/>
          <w:iCs/>
          <w:sz w:val="21"/>
          <w:szCs w:val="21"/>
        </w:rPr>
        <w:t xml:space="preserve">Thesis: “Do Sukuk Markets Rationally Price Embedded Structural and Sustainability Features? Cross-Regional Evidence from GCC and ASEAN”</w:t>
      </w:r>
    </w:p>
    <w:p>
      <w:pPr>
        <w:spacing w:after="240"/>
      </w:pPr>
      <w:r>
        <w:rPr>
          <w:color w:val="595959"/>
          <w:sz w:val="20"/>
          <w:szCs w:val="20"/>
        </w:rPr>
        <w:t xml:space="preserve">To: Junyuan An   ·   Draft of September 2026   ·   Comments dated 29 September 2026</w:t>
      </w:r>
    </w:p>
    <w:p>
      <w:pPr>
        <w:spacing w:after="120" w:line="276"/>
      </w:pPr>
      <w:r>
        <w:t xml:space="preserve">Dear Junyuan,</w:t>
      </w:r>
    </w:p>
    <w:p>
      <w:pPr>
        <w:spacing w:after="120" w:line="276"/>
      </w:pPr>
      <w:r>
        <w:t xml:space="preserve">Thank you for the updated chapters. I have read them in full and checked them against the examiners’ assessment form.</w:t>
      </w:r>
    </w:p>
    <w:p>
      <w:pPr>
        <w:spacing w:after="120" w:line="276"/>
      </w:pPr>
      <w:r>
        <w:t xml:space="preserve">There is good work here. Your statistical tests suit a small number of pairs. Your point that the matched pair, not the pair-month, is the unit of analysis (§3.2) is correct and well made. You are honest about the limits of the data. The AT1 result is interesting and could be published.</w:t>
      </w:r>
    </w:p>
    <w:p>
      <w:pPr>
        <w:spacing w:after="120" w:line="276"/>
      </w:pPr>
      <w:r>
        <w:t xml:space="preserve">However, the chapters are not ready for examiners. I often lost the thread of your argument. The text explains in detail what data you collected and re-ran, but rarely says what the results mean for your research question. As they stand, the chapters need new analysis and a large rewrite. Under the School’s guidelines, that points to </w:t>
      </w:r>
      <w:r>
        <w:rPr>
          <w:b/>
          <w:bCs/>
        </w:rPr>
        <w:t xml:space="preserve">re-examination</w:t>
      </w:r>
      <w:r>
        <w:t xml:space="preserve">, not a pass with corrections. We should fix this before submission.</w:t>
      </w:r>
    </w:p>
    <w:p>
      <w:pPr>
        <w:spacing w:after="120" w:line="276"/>
      </w:pPr>
      <w:r>
        <w:rPr>
          <w:b/>
          <w:bCs/>
        </w:rPr>
        <w:t xml:space="preserve">Part 1</w:t>
      </w:r>
      <w:r>
        <w:t xml:space="preserve"> sets out seven major issues. </w:t>
      </w:r>
      <w:r>
        <w:rPr>
          <w:b/>
          <w:bCs/>
        </w:rPr>
        <w:t xml:space="preserve">Part 2</w:t>
      </w:r>
      <w:r>
        <w:t xml:space="preserve"> lists section-by-section points with location, level, reason and suggested change. </w:t>
      </w:r>
      <w:r>
        <w:rPr>
          <w:b/>
          <w:bCs/>
        </w:rPr>
        <w:t xml:space="preserve">Part 3</w:t>
      </w:r>
      <w:r>
        <w:t xml:space="preserve"> shows how examiners would likely read the chapters now. </w:t>
      </w:r>
      <w:r>
        <w:rPr>
          <w:b/>
          <w:bCs/>
        </w:rPr>
        <w:t xml:space="preserve">Part 4</w:t>
      </w:r>
      <w:r>
        <w:t xml:space="preserve"> lists the most important literature you have not yet cited. </w:t>
      </w:r>
      <w:r>
        <w:rPr>
          <w:b/>
          <w:bCs/>
        </w:rPr>
        <w:t xml:space="preserve">Part 5</w:t>
      </w:r>
      <w:r>
        <w:t xml:space="preserve"> sets out the determinants model I recommend for objective (b).</w:t>
      </w:r>
    </w:p>
    <w:p>
      <w:pPr>
        <w:spacing w:after="120" w:line="276"/>
      </w:pPr>
      <w:r>
        <w:t xml:space="preserve">Page numbers follow your Word file (title page = p. 1). Levels: </w:t>
      </w:r>
      <w:r>
        <w:rPr>
          <w:b/>
          <w:bCs/>
        </w:rPr>
        <w:t xml:space="preserve">Critical</w:t>
      </w:r>
      <w:r>
        <w:t xml:space="preserve"> = must fix before submission; </w:t>
      </w:r>
      <w:r>
        <w:rPr>
          <w:b/>
          <w:bCs/>
        </w:rPr>
        <w:t xml:space="preserve">Major</w:t>
      </w:r>
      <w:r>
        <w:t xml:space="preserve"> = weakens the argument; </w:t>
      </w:r>
      <w:r>
        <w:rPr>
          <w:b/>
          <w:bCs/>
        </w:rPr>
        <w:t xml:space="preserve">Minor</w:t>
      </w:r>
      <w:r>
        <w:t xml:space="preserve"> = presentation or accuracy.</w:t>
      </w:r>
    </w:p>
    <w:p>
      <w:pPr>
        <w:pStyle w:val="Heading1"/>
      </w:pPr>
      <w:r>
        <w:t xml:space="preserve">Part 1. Major issues</w:t>
      </w:r>
    </w:p>
    <w:p>
      <w:pPr>
        <w:pStyle w:val="Heading2"/>
      </w:pPr>
      <w:r>
        <w:t xml:space="preserve">MI-1. Objective (b) on determinants is not addressed</w:t>
      </w:r>
    </w:p>
    <w:p>
      <w:pPr>
        <w:spacing w:after="60" w:before="120"/>
      </w:pPr>
      <w:r>
        <w:rPr>
          <w:b/>
          <w:bCs/>
          <w:color w:val="1F3864"/>
        </w:rPr>
        <w:t xml:space="preserve">The issue (where it occurs)</w:t>
      </w:r>
    </w:p>
    <w:p>
      <w:pPr>
        <w:spacing w:after="120" w:line="276"/>
      </w:pPr>
      <w:r>
        <w:t xml:space="preserve">Your objectives are: (a) compare the yields of feature-bearing sukuk (green/ESG, putable, callable, perpetual) with plain sukuk; and (b) explain what drives those differences. Chapter 4 answers (a). Objective (b) is never estimated. §3.13 (pp. 21–22) leaves it for a “supervisory decision”. The only related work is a small 15-pair regression in Appendix C.3 (p. 108).</w:t>
      </w:r>
    </w:p>
    <w:p>
      <w:pPr>
        <w:spacing w:after="60" w:before="120"/>
      </w:pPr>
      <w:r>
        <w:rPr>
          <w:b/>
          <w:bCs/>
          <w:color w:val="1F3864"/>
        </w:rPr>
        <w:t xml:space="preserve">Why this is a problem</w:t>
      </w:r>
    </w:p>
    <w:p>
      <w:pPr>
        <w:spacing w:after="120" w:line="276"/>
      </w:pPr>
      <w:r>
        <w:t xml:space="preserve">A thesis that answers only one of its two objectives will lose marks on objective clarity and methodology. Without (b), the thesis cannot say </w:t>
      </w:r>
      <w:r>
        <w:rPr>
          <w:i/>
          <w:iCs/>
        </w:rPr>
        <w:t xml:space="preserve">why</w:t>
      </w:r>
      <w:r>
        <w:t xml:space="preserve"> the differences exist, and that is where the analytical depth should come from.</w:t>
      </w:r>
    </w:p>
    <w:p>
      <w:pPr>
        <w:spacing w:after="120" w:line="276"/>
      </w:pPr>
      <w:r>
        <w:t xml:space="preserve">The data problem no longer applies. You say so yourself (p. 21; Appendix D.4, pp. 111–112). You now have time-varying liquidity, quoted spreads and option-adjusted spreads, and 72 pairs instead of 31. Some determinants analysis is already in Chapter 4, but it is scattered: §4.7 (pp. 40–42), §4.8 (pp. 44–45) and §4.9 (p. 47).</w:t>
      </w:r>
    </w:p>
    <w:p>
      <w:pPr>
        <w:spacing w:after="60" w:before="120"/>
      </w:pPr>
      <w:r>
        <w:rPr>
          <w:b/>
          <w:bCs/>
          <w:color w:val="1F3864"/>
        </w:rPr>
        <w:t xml:space="preserve">What I would like you to do</w:t>
      </w:r>
    </w:p>
    <w:p>
      <w:pPr>
        <w:pStyle w:val="ListParagraph"/>
        <w:numPr>
          <w:ilvl w:val="0"/>
          <w:numId w:val="2"/>
        </w:numPr>
        <w:spacing w:after="80" w:line="264"/>
      </w:pPr>
      <w:r>
        <w:t xml:space="preserve">Add a determinants chapter with two models:</w:t>
      </w:r>
    </w:p>
    <w:p>
      <w:pPr>
        <w:pStyle w:val="ListParagraph"/>
        <w:numPr>
          <w:ilvl w:val="0"/>
          <w:numId w:val="2"/>
        </w:numPr>
        <w:spacing w:after="80" w:line="264"/>
      </w:pPr>
      <w:r>
        <w:t xml:space="preserve">(i) a cross-section model: the 72 pair means regressed on the gaps between the two legs (rating, liquidity, quoted spread, size, horizon), plus issuer type, region, the Indonesian sovereign programme, the 2025 issues and label verification;</w:t>
      </w:r>
    </w:p>
    <w:p>
      <w:pPr>
        <w:pStyle w:val="ListParagraph"/>
        <w:numPr>
          <w:ilvl w:val="0"/>
          <w:numId w:val="2"/>
        </w:numPr>
        <w:spacing w:after="80" w:line="264"/>
      </w:pPr>
      <w:r>
        <w:t xml:space="preserve">(ii) a within-pair panel with pair fixed effects and variables that change over time: liquidity gap, quoted-spread gap, time to first call, market conditions and a March 2023 dummy for AT1.</w:t>
      </w:r>
    </w:p>
    <w:p>
      <w:pPr>
        <w:pStyle w:val="ListParagraph"/>
        <w:numPr>
          <w:ilvl w:val="0"/>
          <w:numId w:val="2"/>
        </w:numPr>
        <w:spacing w:after="80" w:line="264"/>
      </w:pPr>
      <w:r>
        <w:t xml:space="preserve">Move the scattered analyses from §§4.7–4.9 into this chapter.</w:t>
      </w:r>
    </w:p>
    <w:p>
      <w:pPr>
        <w:pStyle w:val="ListParagraph"/>
        <w:numPr>
          <w:ilvl w:val="0"/>
          <w:numId w:val="2"/>
        </w:numPr>
        <w:spacing w:after="80" w:line="264"/>
      </w:pPr>
      <w:r>
        <w:t xml:space="preserve">Remove all references to a “supervisory decision”. Examiners will not see that note.</w:t>
      </w:r>
    </w:p>
    <w:p>
      <w:pPr>
        <w:pStyle w:val="ListParagraph"/>
        <w:numPr>
          <w:ilvl w:val="0"/>
          <w:numId w:val="2"/>
        </w:numPr>
        <w:spacing w:after="80" w:line="264"/>
      </w:pPr>
      <w:r>
        <w:t xml:space="preserve">Part 5 sets out the recommended model, sample, variables and expected signs.</w:t>
      </w:r>
    </w:p>
    <w:p>
      <w:pPr>
        <w:pStyle w:val="Heading2"/>
      </w:pPr>
      <w:r>
        <w:t xml:space="preserve">MI-2. The chapters read like a data log, not an argument</w:t>
      </w:r>
    </w:p>
    <w:p>
      <w:pPr>
        <w:spacing w:after="60" w:before="120"/>
      </w:pPr>
      <w:r>
        <w:rPr>
          <w:b/>
          <w:bCs/>
          <w:color w:val="1F3864"/>
        </w:rPr>
        <w:t xml:space="preserve">The issue (where it occurs)</w:t>
      </w:r>
    </w:p>
    <w:p>
      <w:pPr>
        <w:spacing w:after="120" w:line="276"/>
      </w:pPr>
      <w:r>
        <w:t xml:space="preserve">The draft uses “September” 69 times, “benchmark” 54 times and “Section x.y” cross-references 131 times. Chapter 4 follows the order in which the data arrived: final results first (pp. 30–51), then 22 pages on the old benchmark sample (§4.12, pp. 51–72). Chapter 3 also reports results (pp. 17, 18, 22, 27–28) and refers to a separate note and “Decisions 2–6” (pp. 11, 21, 25–26).</w:t>
      </w:r>
    </w:p>
    <w:p>
      <w:pPr>
        <w:spacing w:after="60" w:before="120"/>
      </w:pPr>
      <w:r>
        <w:rPr>
          <w:b/>
          <w:bCs/>
          <w:color w:val="1F3864"/>
        </w:rPr>
        <w:t xml:space="preserve">Why this is a problem</w:t>
      </w:r>
    </w:p>
    <w:p>
      <w:pPr>
        <w:spacing w:after="120" w:line="276"/>
      </w:pPr>
      <w:r>
        <w:t xml:space="preserve">Examiners look for a clear argument that runs from question to evidence to conclusion. Their form rates “arguments are coherent and clear” and “data presented in a logical manner” highly. It describes an argument that is “difficult to follow” as only “Fair”.</w:t>
      </w:r>
    </w:p>
    <w:p>
      <w:pPr>
        <w:spacing w:after="120" w:line="276"/>
      </w:pPr>
      <w:r>
        <w:t xml:space="preserve">Most results paragraphs start with a sample size and a p-value, then give data history, then point to another section. They seldom say what the result means.</w:t>
      </w:r>
    </w:p>
    <w:p>
      <w:pPr>
        <w:spacing w:after="60" w:before="120"/>
      </w:pPr>
      <w:r>
        <w:rPr>
          <w:b/>
          <w:bCs/>
          <w:color w:val="1F3864"/>
        </w:rPr>
        <w:t xml:space="preserve">What I would like you to do</w:t>
      </w:r>
    </w:p>
    <w:p>
      <w:pPr>
        <w:pStyle w:val="ListParagraph"/>
        <w:numPr>
          <w:ilvl w:val="0"/>
          <w:numId w:val="2"/>
        </w:numPr>
        <w:spacing w:after="80" w:line="264"/>
      </w:pPr>
      <w:r>
        <w:t xml:space="preserve">State the main claim of the thesis in one or two sentences. For example: </w:t>
      </w:r>
      <w:r>
        <w:rPr>
          <w:i/>
          <w:iCs/>
        </w:rPr>
        <w:t xml:space="preserve">AT1 sukuk carry a large yield premium; callable sukuk do not, because their calls are worth little; green labels lower yields only where the issuer has credibility and a loyal investor base.</w:t>
      </w:r>
      <w:r>
        <w:t xml:space="preserve"> Every section should then support or qualify that claim.</w:t>
      </w:r>
    </w:p>
    <w:p>
      <w:pPr>
        <w:pStyle w:val="ListParagraph"/>
        <w:numPr>
          <w:ilvl w:val="0"/>
          <w:numId w:val="2"/>
        </w:numPr>
        <w:spacing w:after="80" w:line="264"/>
      </w:pPr>
      <w:r>
        <w:t xml:space="preserve">Reorganise the chapters by objective (see Part 2). Replace §4.12 with one comparison table and move the rest to an appendix.</w:t>
      </w:r>
    </w:p>
    <w:p>
      <w:pPr>
        <w:pStyle w:val="ListParagraph"/>
        <w:numPr>
          <w:ilvl w:val="0"/>
          <w:numId w:val="2"/>
        </w:numPr>
        <w:spacing w:after="80" w:line="264"/>
      </w:pPr>
      <w:r>
        <w:t xml:space="preserve">Write each results paragraph in this order: finding → evidence (with table) → meaning → link to literature → limitation.</w:t>
      </w:r>
    </w:p>
    <w:p>
      <w:pPr>
        <w:pStyle w:val="ListParagraph"/>
        <w:numPr>
          <w:ilvl w:val="0"/>
          <w:numId w:val="2"/>
        </w:numPr>
        <w:spacing w:after="80" w:line="264"/>
      </w:pPr>
      <w:r>
        <w:t xml:space="preserve">Remove process words such as “September collection”, “first assembled” and “Decision 6”.</w:t>
      </w:r>
    </w:p>
    <w:p>
      <w:pPr>
        <w:pStyle w:val="Heading2"/>
      </w:pPr>
      <w:r>
        <w:t xml:space="preserve">MI-3. Key analysis choices changed after the results were known</w:t>
      </w:r>
    </w:p>
    <w:p>
      <w:pPr>
        <w:spacing w:after="60" w:before="120"/>
      </w:pPr>
      <w:r>
        <w:rPr>
          <w:b/>
          <w:bCs/>
          <w:color w:val="1F3864"/>
        </w:rPr>
        <w:t xml:space="preserve">The issue (where it occurs)</w:t>
      </w:r>
    </w:p>
    <w:p>
      <w:pPr>
        <w:spacing w:after="120" w:line="276"/>
      </w:pPr>
      <w:r>
        <w:t xml:space="preserve">These choices were made after you had seen the benchmark results:</w:t>
      </w:r>
    </w:p>
    <w:p>
      <w:pPr>
        <w:pStyle w:val="ListParagraph"/>
        <w:numPr>
          <w:ilvl w:val="0"/>
          <w:numId w:val="2"/>
        </w:numPr>
        <w:spacing w:after="80" w:line="264"/>
      </w:pPr>
      <w:r>
        <w:t xml:space="preserve">the main time horizon moved from the proposal window (Jan 2020–Jun 2025) to August 2026 (p. 3);</w:t>
      </w:r>
    </w:p>
    <w:p>
      <w:pPr>
        <w:pStyle w:val="ListParagraph"/>
        <w:numPr>
          <w:ilvl w:val="0"/>
          <w:numId w:val="2"/>
        </w:numPr>
        <w:spacing w:after="80" w:line="264"/>
      </w:pPr>
      <w:r>
        <w:t xml:space="preserve">new data-cleaning rules were added (§3.7, p. 13);</w:t>
      </w:r>
    </w:p>
    <w:p>
      <w:pPr>
        <w:pStyle w:val="ListParagraph"/>
        <w:numPr>
          <w:ilvl w:val="0"/>
          <w:numId w:val="2"/>
        </w:numPr>
        <w:spacing w:after="80" w:line="264"/>
      </w:pPr>
      <w:r>
        <w:t xml:space="preserve">the matching was revised several times, and the timing was not recorded (p. 3);</w:t>
      </w:r>
    </w:p>
    <w:p>
      <w:pPr>
        <w:pStyle w:val="ListParagraph"/>
        <w:numPr>
          <w:ilvl w:val="0"/>
          <w:numId w:val="2"/>
        </w:numPr>
        <w:spacing w:after="80" w:line="264"/>
      </w:pPr>
      <w:r>
        <w:t xml:space="preserve">the deciding test changed from the t-test (Table 4.17, p. 69) to the sign-flip test (§4.11, p. 50);</w:t>
      </w:r>
    </w:p>
    <w:p>
      <w:pPr>
        <w:pStyle w:val="ListParagraph"/>
        <w:numPr>
          <w:ilvl w:val="0"/>
          <w:numId w:val="2"/>
        </w:numPr>
        <w:spacing w:after="80" w:line="264"/>
      </w:pPr>
      <w:r>
        <w:t xml:space="preserve">the sample was enlarged after the first null results (p. 27).</w:t>
      </w:r>
    </w:p>
    <w:p>
      <w:pPr>
        <w:spacing w:after="120" w:line="276"/>
      </w:pPr>
      <w:r>
        <w:t xml:space="preserve">On the pre-specified window, no hypothesis survives the Holm correction: H1b and H2 both give p = 0.0506 (Table 4.8, p. 50). H1b is significant (p = 0.035) only on the longer horizon.</w:t>
      </w:r>
    </w:p>
    <w:p>
      <w:pPr>
        <w:spacing w:after="60" w:before="120"/>
      </w:pPr>
      <w:r>
        <w:rPr>
          <w:b/>
          <w:bCs/>
          <w:color w:val="1F3864"/>
        </w:rPr>
        <w:t xml:space="preserve">Why this is a problem</w:t>
      </w:r>
    </w:p>
    <w:p>
      <w:pPr>
        <w:spacing w:after="120" w:line="276"/>
      </w:pPr>
      <w:r>
        <w:t xml:space="preserve">When sample, measures and tests are chosen after seeing the data, the chance of a false positive rises well above 5% (Simmons, Nelson &amp; Simonsohn, 2011; Harvey, 2017). An examiner who reads p. 3 and Table 4.8 together will raise this. Figure 1 shows how much the results depend on which sample reading is used.</w:t>
      </w:r>
    </w:p>
    <w:p>
      <w:pPr>
        <w:spacing w:after="60" w:before="120"/>
        <w:jc w:val="center"/>
      </w:pPr>
      <w:r>
        <w:drawing>
          <wp:inline distT="0" distB="0" distL="0" distR="0">
            <wp:extent cx="59055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28825"/>
                    </a:xfrm>
                    <a:prstGeom prst="rect">
                      <a:avLst/>
                    </a:prstGeom>
                  </pic:spPr>
                </pic:pic>
              </a:graphicData>
            </a:graphic>
          </wp:inline>
        </w:drawing>
      </w:r>
    </w:p>
    <w:p>
      <w:pPr>
        <w:spacing w:after="200" w:before="60" w:line="252"/>
      </w:pPr>
      <w:r>
        <w:rPr>
          <w:b/>
          <w:bCs/>
          <w:color w:val="404040"/>
          <w:sz w:val="18"/>
          <w:szCs w:val="18"/>
        </w:rPr>
        <w:t xml:space="preserve">Figure 1.</w:t>
      </w:r>
      <w:r>
        <w:rPr>
          <w:color w:val="404040"/>
          <w:sz w:val="18"/>
          <w:szCs w:val="18"/>
        </w:rPr>
        <w:t xml:space="preserve"> Mean yield difference per pair (basis points) with 95% bootstrap intervals, by sukuk class and sample reading. G = number of pairs; p = sign-flip p-value (unadjusted). Source: your Table 4.1 (p. 35). A figure like this should open Chapter 4.</w:t>
      </w:r>
    </w:p>
    <w:p>
      <w:pPr>
        <w:spacing w:after="60" w:before="120"/>
      </w:pPr>
      <w:r>
        <w:rPr>
          <w:b/>
          <w:bCs/>
          <w:color w:val="1F3864"/>
        </w:rPr>
        <w:t xml:space="preserve">What I would like you to do</w:t>
      </w:r>
    </w:p>
    <w:p>
      <w:pPr>
        <w:pStyle w:val="ListParagraph"/>
        <w:numPr>
          <w:ilvl w:val="0"/>
          <w:numId w:val="2"/>
        </w:numPr>
        <w:spacing w:after="80" w:line="264"/>
      </w:pPr>
      <w:r>
        <w:t xml:space="preserve">Fix one main horizon and one deciding test, and justify both. The proposal window is the natural choice; treat the longer horizon as an extension.</w:t>
      </w:r>
    </w:p>
    <w:p>
      <w:pPr>
        <w:pStyle w:val="ListParagraph"/>
        <w:numPr>
          <w:ilvl w:val="0"/>
          <w:numId w:val="2"/>
        </w:numPr>
        <w:spacing w:after="80" w:line="264"/>
      </w:pPr>
      <w:r>
        <w:t xml:space="preserve">Use your strongest evidence. The nine AT1 pairs formed under the written protocol, before their results were known, give +240 bp (p = 0.0039; p. 32). Present them as a replication sample. Test whether they differ from the original 16 pairs (+27 bp, p = 0.49).</w:t>
      </w:r>
    </w:p>
    <w:p>
      <w:pPr>
        <w:pStyle w:val="ListParagraph"/>
        <w:numPr>
          <w:ilvl w:val="0"/>
          <w:numId w:val="2"/>
        </w:numPr>
        <w:spacing w:after="80" w:line="264"/>
      </w:pPr>
      <w:r>
        <w:t xml:space="preserve">Reconstruct when the matching changes were made. If you cannot, call the benchmark analysis exploratory.</w:t>
      </w:r>
    </w:p>
    <w:p>
      <w:pPr>
        <w:pStyle w:val="Heading2"/>
      </w:pPr>
      <w:r>
        <w:t xml:space="preserve">MI-4. The AT1 premium may partly reflect weaker credit</w:t>
      </w:r>
    </w:p>
    <w:p>
      <w:pPr>
        <w:spacing w:after="60" w:before="120"/>
      </w:pPr>
      <w:r>
        <w:rPr>
          <w:b/>
          <w:bCs/>
          <w:color w:val="1F3864"/>
        </w:rPr>
        <w:t xml:space="preserve">The issue (where it occurs)</w:t>
      </w:r>
    </w:p>
    <w:p>
      <w:pPr>
        <w:spacing w:after="120" w:line="276"/>
      </w:pPr>
      <w:r>
        <w:t xml:space="preserve">In 8 of the 9 new AT1 pairs, the matching ignores credit rating because the AT1 is unrated (p. 28). Many controls are strong sovereign or quasi-sovereign bonds from other countries, such as CBB, Mumtalakat, ROP Sukuk Trust, FAB and Oman Sovereign (Table 4.3, pp. 36–37). Some treated banks are weak: Bereket One (+694 bp) and KHCB (+425 bp). Your own regression puts being unrated at about +190 to +220 bp (p. 40).</w:t>
      </w:r>
    </w:p>
    <w:p>
      <w:pPr>
        <w:spacing w:after="60" w:before="120"/>
      </w:pPr>
      <w:r>
        <w:rPr>
          <w:b/>
          <w:bCs/>
          <w:color w:val="1F3864"/>
        </w:rPr>
        <w:t xml:space="preserve">Why this is a problem</w:t>
      </w:r>
    </w:p>
    <w:p>
      <w:pPr>
        <w:spacing w:after="120" w:line="276"/>
      </w:pPr>
      <w:r>
        <w:t xml:space="preserve">H1b is about the AT1 </w:t>
      </w:r>
      <w:r>
        <w:rPr>
          <w:i/>
          <w:iCs/>
        </w:rPr>
        <w:t xml:space="preserve">structure</w:t>
      </w:r>
      <w:r>
        <w:t xml:space="preserve">. If the AT1 banks are also weaker credits than the controls, the estimate mixes structure with credit risk. The gap between the original pairs (+27 bp) and the new pairs (+240 bp) could simply be credit. Becker et al. (2024) show that credit quality affects the value of bond features. This is why the best studies compare bonds from the same issuer at the same time (Becker et al., 2024; Zerbib, 2019).</w:t>
      </w:r>
    </w:p>
    <w:p>
      <w:pPr>
        <w:spacing w:after="60" w:before="120"/>
      </w:pPr>
      <w:r>
        <w:rPr>
          <w:b/>
          <w:bCs/>
          <w:color w:val="1F3864"/>
        </w:rPr>
        <w:t xml:space="preserve">What I would like you to do</w:t>
      </w:r>
    </w:p>
    <w:p>
      <w:pPr>
        <w:pStyle w:val="ListParagraph"/>
        <w:numPr>
          <w:ilvl w:val="0"/>
          <w:numId w:val="2"/>
        </w:numPr>
        <w:spacing w:after="80" w:line="264"/>
      </w:pPr>
      <w:r>
        <w:t xml:space="preserve">Match AT1 legs using the issuing bank’s senior rating (the offering documents give it; p. 13).</w:t>
      </w:r>
    </w:p>
    <w:p>
      <w:pPr>
        <w:pStyle w:val="ListParagraph"/>
        <w:numPr>
          <w:ilvl w:val="0"/>
          <w:numId w:val="2"/>
        </w:numPr>
        <w:spacing w:after="80" w:line="264"/>
      </w:pPr>
      <w:r>
        <w:t xml:space="preserve">Make the within-bank comparison (§4.7; about 95–106 bp across 11–12 banks) a main test of H1b. It compares the same bank’s AT1 and senior sukuk, so bank credit risk is held fixed.</w:t>
      </w:r>
    </w:p>
    <w:p>
      <w:pPr>
        <w:pStyle w:val="ListParagraph"/>
        <w:numPr>
          <w:ilvl w:val="0"/>
          <w:numId w:val="2"/>
        </w:numPr>
        <w:spacing w:after="80" w:line="264"/>
      </w:pPr>
      <w:r>
        <w:t xml:space="preserve">Report H1b without the Turkish banks, and with controls from the same country.</w:t>
      </w:r>
    </w:p>
    <w:p>
      <w:pPr>
        <w:pStyle w:val="ListParagraph"/>
        <w:numPr>
          <w:ilvl w:val="0"/>
          <w:numId w:val="2"/>
        </w:numPr>
        <w:spacing w:after="80" w:line="264"/>
      </w:pPr>
      <w:r>
        <w:t xml:space="preserve">Do not call the sample a “Gulf bank segment” (p. 94). It includes Turkish banks.</w:t>
      </w:r>
    </w:p>
    <w:p>
      <w:pPr>
        <w:pStyle w:val="Heading2"/>
      </w:pPr>
      <w:r>
        <w:t xml:space="preserve">MI-5. The yield measure disagrees with the spread data</w:t>
      </w:r>
    </w:p>
    <w:p>
      <w:pPr>
        <w:spacing w:after="60" w:before="120"/>
      </w:pPr>
      <w:r>
        <w:rPr>
          <w:b/>
          <w:bCs/>
          <w:color w:val="1F3864"/>
        </w:rPr>
        <w:t xml:space="preserve">The issue (where it occurs)</w:t>
      </w:r>
    </w:p>
    <w:p>
      <w:pPr>
        <w:spacing w:after="120" w:line="276"/>
      </w:pPr>
      <w:r>
        <w:t xml:space="preserve">For AT1, the yield difference is +104 bp. The spread difference ranges from −139 to +157 bp depending on the source (p. 38). The draft draws no conclusion from this. Yield conventions are also mixed: most AT1s are priced to first call, but Bereket One is priced to perpetuity (p. 43). The option-adjusted comparison uses an old version of the panel (p. 44).</w:t>
      </w:r>
    </w:p>
    <w:p>
      <w:pPr>
        <w:spacing w:after="60" w:before="120"/>
      </w:pPr>
      <w:r>
        <w:rPr>
          <w:b/>
          <w:bCs/>
          <w:color w:val="1F3864"/>
        </w:rPr>
        <w:t xml:space="preserve">Why this is a problem</w:t>
      </w:r>
    </w:p>
    <w:p>
      <w:pPr>
        <w:spacing w:after="120" w:line="276"/>
      </w:pPr>
      <w:r>
        <w:t xml:space="preserve">For two bonds in the same currency with similar maturities, yield and spread differences should be close. A gap of over 100 bp suggests that one of the series, or the yield convention, is wrong. That is a question about your main measure, not a side issue. For callable and perpetual bonds, yield-to-maturity also mixes in the value of the call option (Kalotay, Williams &amp; Fabozzi, 1993).</w:t>
      </w:r>
    </w:p>
    <w:p>
      <w:pPr>
        <w:spacing w:after="60" w:before="120"/>
      </w:pPr>
      <w:r>
        <w:rPr>
          <w:b/>
          <w:bCs/>
          <w:color w:val="1F3864"/>
        </w:rPr>
        <w:t xml:space="preserve">What I would like you to do</w:t>
      </w:r>
    </w:p>
    <w:p>
      <w:pPr>
        <w:pStyle w:val="ListParagraph"/>
        <w:numPr>
          <w:ilvl w:val="0"/>
          <w:numId w:val="2"/>
        </w:numPr>
        <w:spacing w:after="80" w:line="264"/>
      </w:pPr>
      <w:r>
        <w:t xml:space="preserve">Compare the yield and spread differences pair by pair, and find which pairs cause the gap.</w:t>
      </w:r>
    </w:p>
    <w:p>
      <w:pPr>
        <w:pStyle w:val="ListParagraph"/>
        <w:numPr>
          <w:ilvl w:val="0"/>
          <w:numId w:val="2"/>
        </w:numPr>
        <w:spacing w:after="80" w:line="264"/>
      </w:pPr>
      <w:r>
        <w:t xml:space="preserve">Use one yield convention for all callable and perpetual legs (e.g., yield-to-worst). Check that results hold for well-priced legs only.</w:t>
      </w:r>
    </w:p>
    <w:p>
      <w:pPr>
        <w:pStyle w:val="ListParagraph"/>
        <w:numPr>
          <w:ilvl w:val="0"/>
          <w:numId w:val="2"/>
        </w:numPr>
        <w:spacing w:after="80" w:line="264"/>
      </w:pPr>
      <w:r>
        <w:t xml:space="preserve">Re-run the option-adjusted comparison on the current panel.</w:t>
      </w:r>
    </w:p>
    <w:p>
      <w:pPr>
        <w:pStyle w:val="Heading2"/>
      </w:pPr>
      <w:r>
        <w:t xml:space="preserve">MI-6. Numbers do not match across sections</w:t>
      </w:r>
    </w:p>
    <w:p>
      <w:pPr>
        <w:spacing w:after="60" w:before="120"/>
      </w:pPr>
      <w:r>
        <w:rPr>
          <w:b/>
          <w:bCs/>
          <w:color w:val="1F3864"/>
        </w:rPr>
        <w:t xml:space="preserve">The issue (where it occurs)</w:t>
      </w:r>
    </w:p>
    <w:p>
      <w:pPr>
        <w:spacing w:after="120" w:line="276"/>
      </w:pPr>
      <w:r>
        <w:t xml:space="preserve">I recalculated your main statistics and the core arithmetic is correct. But at least 15 numbers contradict each other. The main ones:</w:t>
      </w:r>
    </w:p>
    <w:p>
      <w:pPr>
        <w:pStyle w:val="ListParagraph"/>
        <w:numPr>
          <w:ilvl w:val="0"/>
          <w:numId w:val="2"/>
        </w:numPr>
        <w:spacing w:after="80" w:line="264"/>
      </w:pPr>
      <w:r>
        <w:t xml:space="preserve">the benchmark AT1 pair count: 16 (p. 8) vs 14 (Table 4.1, p. 35);</w:t>
      </w:r>
    </w:p>
    <w:p>
      <w:pPr>
        <w:pStyle w:val="ListParagraph"/>
        <w:numPr>
          <w:ilvl w:val="0"/>
          <w:numId w:val="2"/>
        </w:numPr>
        <w:spacing w:after="80" w:line="264"/>
      </w:pPr>
      <w:r>
        <w:t xml:space="preserve">the within-bank AT1 estimate: 106.0 (p. 40) vs 94.49 (Table 4.4, p. 41);</w:t>
      </w:r>
    </w:p>
    <w:p>
      <w:pPr>
        <w:pStyle w:val="ListParagraph"/>
        <w:numPr>
          <w:ilvl w:val="0"/>
          <w:numId w:val="2"/>
        </w:numPr>
        <w:spacing w:after="80" w:line="264"/>
      </w:pPr>
      <w:r>
        <w:t xml:space="preserve">the AT1 liquidity gap, reported four ways (pp. 30, 45, 52);</w:t>
      </w:r>
    </w:p>
    <w:p>
      <w:pPr>
        <w:pStyle w:val="ListParagraph"/>
        <w:numPr>
          <w:ilvl w:val="0"/>
          <w:numId w:val="2"/>
        </w:numPr>
        <w:spacing w:after="80" w:line="264"/>
      </w:pPr>
      <w:r>
        <w:t xml:space="preserve">sign-flip p-values that differ between Tables 4.10, 4.11 and 4.15 and Table 4.18;</w:t>
      </w:r>
    </w:p>
    <w:p>
      <w:pPr>
        <w:pStyle w:val="ListParagraph"/>
        <w:numPr>
          <w:ilvl w:val="0"/>
          <w:numId w:val="2"/>
        </w:numPr>
        <w:spacing w:after="80" w:line="264"/>
      </w:pPr>
      <w:r>
        <w:t xml:space="preserve">the callable claim on p. 47, which Table 4.6 (p. 48) does not support.</w:t>
      </w:r>
    </w:p>
    <w:p>
      <w:pPr>
        <w:spacing w:after="120" w:line="276"/>
      </w:pPr>
      <w:r>
        <w:t xml:space="preserve">Part 2 lists them all.</w:t>
      </w:r>
    </w:p>
    <w:p>
      <w:pPr>
        <w:spacing w:after="60" w:before="120"/>
      </w:pPr>
      <w:r>
        <w:rPr>
          <w:b/>
          <w:bCs/>
          <w:color w:val="1F3864"/>
        </w:rPr>
        <w:t xml:space="preserve">Why this is a problem</w:t>
      </w:r>
    </w:p>
    <w:p>
      <w:pPr>
        <w:spacing w:after="120" w:line="276"/>
      </w:pPr>
      <w:r>
        <w:t xml:space="preserve">Examiners treat factual errors and inconsistencies as signs of weak work, and they start to doubt numbers that are actually correct. The cause is that three versions of the benchmark sample appear in the text without clear names.</w:t>
      </w:r>
    </w:p>
    <w:p>
      <w:pPr>
        <w:spacing w:after="60" w:before="120"/>
      </w:pPr>
      <w:r>
        <w:rPr>
          <w:b/>
          <w:bCs/>
          <w:color w:val="1F3864"/>
        </w:rPr>
        <w:t xml:space="preserve">What I would like you to do</w:t>
      </w:r>
    </w:p>
    <w:p>
      <w:pPr>
        <w:pStyle w:val="ListParagraph"/>
        <w:numPr>
          <w:ilvl w:val="0"/>
          <w:numId w:val="2"/>
        </w:numPr>
        <w:spacing w:after="80" w:line="264"/>
      </w:pPr>
      <w:r>
        <w:t xml:space="preserve">Keep one current sample in the main text, and move older versions to an appendix under one name.</w:t>
      </w:r>
    </w:p>
    <w:p>
      <w:pPr>
        <w:pStyle w:val="ListParagraph"/>
        <w:numPr>
          <w:ilvl w:val="0"/>
          <w:numId w:val="2"/>
        </w:numPr>
        <w:spacing w:after="80" w:line="264"/>
      </w:pPr>
      <w:r>
        <w:t xml:space="preserve">Produce all reported numbers from a single run of your code, then correct each item in Part 2.</w:t>
      </w:r>
    </w:p>
    <w:p>
      <w:pPr>
        <w:pStyle w:val="Heading2"/>
      </w:pPr>
      <w:r>
        <w:t xml:space="preserve">MI-7. The discussion summarises literature but rarely explains; the conclusion misses the title question</w:t>
      </w:r>
    </w:p>
    <w:p>
      <w:pPr>
        <w:spacing w:after="60" w:before="120"/>
      </w:pPr>
      <w:r>
        <w:rPr>
          <w:b/>
          <w:bCs/>
          <w:color w:val="1F3864"/>
        </w:rPr>
        <w:t xml:space="preserve">The issue (where it occurs)</w:t>
      </w:r>
    </w:p>
    <w:p>
      <w:pPr>
        <w:spacing w:after="120" w:line="276"/>
      </w:pPr>
      <w:r>
        <w:t xml:space="preserve">Chapter 5 cites a wide range of studies, some with real care (p. 82). But it mostly summarises them one by one. It seldom says whether your results agree with them, or why. Parts are out of date: “a seventeen-pair sample” (p. 82), “the null obtained here” (p. 83), “consistently but insignificantly negative” (p. 87), and a contribution based on two old pairs (p. 88). The conclusion (pp. 93–95) never answers whether the market “rationally prices” these features. It also leaves out objective (b) and future research, which Chapter 3 promises (pp. 11, 18).</w:t>
      </w:r>
    </w:p>
    <w:p>
      <w:pPr>
        <w:spacing w:after="60" w:before="120"/>
      </w:pPr>
      <w:r>
        <w:rPr>
          <w:b/>
          <w:bCs/>
          <w:color w:val="1F3864"/>
        </w:rPr>
        <w:t xml:space="preserve">Why this is a problem</w:t>
      </w:r>
    </w:p>
    <w:p>
      <w:pPr>
        <w:spacing w:after="120" w:line="276"/>
      </w:pPr>
      <w:r>
        <w:t xml:space="preserve">The examiners’ form asks whether you draw sound inferences from previous research and relate your conclusions to other studies. It also asks you to separate conclusions clearly from speculation. A list of studies does not do that.</w:t>
      </w:r>
    </w:p>
    <w:p>
      <w:pPr>
        <w:spacing w:after="60" w:before="120"/>
      </w:pPr>
      <w:r>
        <w:rPr>
          <w:b/>
          <w:bCs/>
          <w:color w:val="1F3864"/>
        </w:rPr>
        <w:t xml:space="preserve">What I would like you to do</w:t>
      </w:r>
    </w:p>
    <w:p>
      <w:pPr>
        <w:pStyle w:val="ListParagraph"/>
        <w:numPr>
          <w:ilvl w:val="0"/>
          <w:numId w:val="2"/>
        </w:numPr>
        <w:spacing w:after="80" w:line="264"/>
      </w:pPr>
      <w:r>
        <w:t xml:space="preserve">For each finding, say: what the literature expects; whether you agree or disagree; why; and what follows. Part 2 suggests specific comparisons.</w:t>
      </w:r>
    </w:p>
    <w:p>
      <w:pPr>
        <w:pStyle w:val="ListParagraph"/>
        <w:numPr>
          <w:ilvl w:val="0"/>
          <w:numId w:val="2"/>
        </w:numPr>
        <w:spacing w:after="80" w:line="264"/>
      </w:pPr>
      <w:r>
        <w:t xml:space="preserve">Make §5.6 on rational pricing the centrepiece. You already have strong evidence. Gulf AT1s are priced to their first call and are called on that date. Albaraka Türk skipped its calls and is priced to perpetuity (p. 43). This matches Ivashchenko and Rockinger (2026), who find bond prices react to call decisions.</w:t>
      </w:r>
    </w:p>
    <w:p>
      <w:pPr>
        <w:pStyle w:val="ListParagraph"/>
        <w:numPr>
          <w:ilvl w:val="0"/>
          <w:numId w:val="2"/>
        </w:numPr>
        <w:spacing w:after="80" w:line="264"/>
      </w:pPr>
      <w:r>
        <w:t xml:space="preserve">Rewrite the conclusion in this order: objective (a), objective (b), answer to the title question, contributions, limitations, future research.</w:t>
      </w:r>
    </w:p>
    <w:p>
      <w:pPr>
        <w:sectPr>
          <w:footerReference w:type="default" r:id="rId6"/>
          <w:pgSz w:w="11906" w:h="16838" w:orient="portrait"/>
          <w:pgMar w:top="1134" w:right="1134" w:bottom="1134" w:left="1134" w:header="708" w:footer="708" w:gutter="0"/>
          <w:pgNumType/>
          <w:docGrid w:linePitch="360"/>
        </w:sectPr>
      </w:pPr>
    </w:p>
    <w:p>
      <w:pPr>
        <w:pStyle w:val="Heading1"/>
      </w:pPr>
      <w:r>
        <w:t xml:space="preserve">Part 2. Section-by-section comments</w:t>
      </w:r>
    </w:p>
    <w:p>
      <w:pPr>
        <w:spacing w:after="120" w:line="276"/>
      </w:pPr>
      <w:r>
        <w:t xml:space="preserve">Each row gives: the issue and where it is, its level, why it matters (with a reference where useful), and what to do. “See MI-x” means the point is covered in Part 1.</w:t>
      </w:r>
    </w:p>
    <w:p>
      <w:pPr>
        <w:pStyle w:val="Heading2"/>
      </w:pPr>
      <w:r>
        <w:t xml:space="preserve">Chapter 3: Research design and methodology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3.1</w:t>
            </w:r>
          </w:p>
        </w:tc>
        <w:tc>
          <w:tcPr>
            <w:tcW w:type="dxa" w:w="3934"/>
            <w:tcMar>
              <w:top w:type="dxa" w:w="60"/>
              <w:left w:type="dxa" w:w="90"/>
              <w:bottom w:type="dxa" w:w="60"/>
              <w:right w:type="dxa" w:w="90"/>
            </w:tcMar>
          </w:tcPr>
          <w:p>
            <w:pPr>
              <w:spacing w:after="40"/>
            </w:pPr>
            <w:r>
              <w:rPr>
                <w:sz w:val="18"/>
                <w:szCs w:val="18"/>
              </w:rPr>
              <w:t xml:space="preserve">The objectives are not restated, and there is no map from objectives to hypotheses to methods. The title promises “cross-regional” results and “rational pricing” (pp. 2–3).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Examiners assess objective clarity first. The cross-regional objective (RO4) cannot be tested (p. 22), so the title over-promises.</w:t>
            </w:r>
          </w:p>
        </w:tc>
        <w:tc>
          <w:tcPr>
            <w:tcW w:type="dxa" w:w="4079"/>
            <w:tcMar>
              <w:top w:type="dxa" w:w="60"/>
              <w:left w:type="dxa" w:w="90"/>
              <w:bottom w:type="dxa" w:w="60"/>
              <w:right w:type="dxa" w:w="90"/>
            </w:tcMar>
          </w:tcPr>
          <w:p>
            <w:pPr>
              <w:spacing w:after="40"/>
            </w:pPr>
            <w:r>
              <w:rPr>
                <w:sz w:val="18"/>
                <w:szCs w:val="18"/>
              </w:rPr>
              <w:t xml:space="preserve">Open Chapter 3 with a table: objective → hypothesis → method → where tested. Drop “Cross-Regional” from the title.</w:t>
            </w:r>
          </w:p>
        </w:tc>
      </w:tr>
      <w:tr>
        <w:trPr>
          <w:cantSplit w:val="off"/>
        </w:trPr>
        <w:tc>
          <w:tcPr>
            <w:tcW w:type="dxa" w:w="729"/>
            <w:tcMar>
              <w:top w:type="dxa" w:w="60"/>
              <w:left w:type="dxa" w:w="90"/>
              <w:bottom w:type="dxa" w:w="60"/>
              <w:right w:type="dxa" w:w="90"/>
            </w:tcMar>
          </w:tcPr>
          <w:p>
            <w:pPr>
              <w:spacing w:after="40"/>
            </w:pPr>
            <w:r>
              <w:rPr>
                <w:sz w:val="18"/>
                <w:szCs w:val="18"/>
              </w:rPr>
              <w:t xml:space="preserve">3.2</w:t>
            </w:r>
          </w:p>
        </w:tc>
        <w:tc>
          <w:tcPr>
            <w:tcW w:type="dxa" w:w="3934"/>
            <w:tcMar>
              <w:top w:type="dxa" w:w="60"/>
              <w:left w:type="dxa" w:w="90"/>
              <w:bottom w:type="dxa" w:w="60"/>
              <w:right w:type="dxa" w:w="90"/>
            </w:tcMar>
          </w:tcPr>
          <w:p>
            <w:pPr>
              <w:spacing w:after="40"/>
            </w:pPr>
            <w:r>
              <w:rPr>
                <w:sz w:val="18"/>
                <w:szCs w:val="18"/>
              </w:rPr>
              <w:t xml:space="preserve">“Matching was revised more than once … records do not establish exactly when” (p. 3).</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This suggests the design may have been adjusted to fit the results (Simmons et al., 2011). See MI-3.</w:t>
            </w:r>
          </w:p>
        </w:tc>
        <w:tc>
          <w:tcPr>
            <w:tcW w:type="dxa" w:w="4079"/>
            <w:tcMar>
              <w:top w:type="dxa" w:w="60"/>
              <w:left w:type="dxa" w:w="90"/>
              <w:bottom w:type="dxa" w:w="60"/>
              <w:right w:type="dxa" w:w="90"/>
            </w:tcMar>
          </w:tcPr>
          <w:p>
            <w:pPr>
              <w:spacing w:after="40"/>
            </w:pPr>
            <w:r>
              <w:rPr>
                <w:sz w:val="18"/>
                <w:szCs w:val="18"/>
              </w:rPr>
              <w:t xml:space="preserve">Reconstruct the timeline, or call the benchmark analysis exploratory.</w:t>
            </w:r>
          </w:p>
        </w:tc>
      </w:tr>
      <w:tr>
        <w:trPr>
          <w:cantSplit w:val="off"/>
        </w:trPr>
        <w:tc>
          <w:tcPr>
            <w:tcW w:type="dxa" w:w="729"/>
            <w:tcMar>
              <w:top w:type="dxa" w:w="60"/>
              <w:left w:type="dxa" w:w="90"/>
              <w:bottom w:type="dxa" w:w="60"/>
              <w:right w:type="dxa" w:w="90"/>
            </w:tcMar>
          </w:tcPr>
          <w:p>
            <w:pPr>
              <w:spacing w:after="40"/>
            </w:pPr>
            <w:r>
              <w:rPr>
                <w:sz w:val="18"/>
                <w:szCs w:val="18"/>
              </w:rPr>
              <w:t xml:space="preserve">3.3</w:t>
            </w:r>
          </w:p>
        </w:tc>
        <w:tc>
          <w:tcPr>
            <w:tcW w:type="dxa" w:w="3934"/>
            <w:tcMar>
              <w:top w:type="dxa" w:w="60"/>
              <w:left w:type="dxa" w:w="90"/>
              <w:bottom w:type="dxa" w:w="60"/>
              <w:right w:type="dxa" w:w="90"/>
            </w:tcMar>
          </w:tcPr>
          <w:p>
            <w:pPr>
              <w:spacing w:after="40"/>
            </w:pPr>
            <w:r>
              <w:rPr>
                <w:sz w:val="18"/>
                <w:szCs w:val="18"/>
              </w:rPr>
              <w:t xml:space="preserve">The main horizon was switched to the extended period (p. 3).</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On the pre-specified window, no hypothesis survives Holm (p. 50). See MI-3.</w:t>
            </w:r>
          </w:p>
        </w:tc>
        <w:tc>
          <w:tcPr>
            <w:tcW w:type="dxa" w:w="4079"/>
            <w:tcMar>
              <w:top w:type="dxa" w:w="60"/>
              <w:left w:type="dxa" w:w="90"/>
              <w:bottom w:type="dxa" w:w="60"/>
              <w:right w:type="dxa" w:w="90"/>
            </w:tcMar>
          </w:tcPr>
          <w:p>
            <w:pPr>
              <w:spacing w:after="40"/>
            </w:pPr>
            <w:r>
              <w:rPr>
                <w:sz w:val="18"/>
                <w:szCs w:val="18"/>
              </w:rPr>
              <w:t xml:space="preserve">Choose one main horizon and treat the other as an extension.</w:t>
            </w:r>
          </w:p>
        </w:tc>
      </w:tr>
      <w:tr>
        <w:trPr>
          <w:cantSplit w:val="off"/>
        </w:trPr>
        <w:tc>
          <w:tcPr>
            <w:tcW w:type="dxa" w:w="729"/>
            <w:tcMar>
              <w:top w:type="dxa" w:w="60"/>
              <w:left w:type="dxa" w:w="90"/>
              <w:bottom w:type="dxa" w:w="60"/>
              <w:right w:type="dxa" w:w="90"/>
            </w:tcMar>
          </w:tcPr>
          <w:p>
            <w:pPr>
              <w:spacing w:after="40"/>
            </w:pPr>
            <w:r>
              <w:rPr>
                <w:sz w:val="18"/>
                <w:szCs w:val="18"/>
              </w:rPr>
              <w:t xml:space="preserve">3.4</w:t>
            </w:r>
          </w:p>
        </w:tc>
        <w:tc>
          <w:tcPr>
            <w:tcW w:type="dxa" w:w="3934"/>
            <w:tcMar>
              <w:top w:type="dxa" w:w="60"/>
              <w:left w:type="dxa" w:w="90"/>
              <w:bottom w:type="dxa" w:w="60"/>
              <w:right w:type="dxa" w:w="90"/>
            </w:tcMar>
          </w:tcPr>
          <w:p>
            <w:pPr>
              <w:spacing w:after="40"/>
            </w:pPr>
            <w:r>
              <w:rPr>
                <w:sz w:val="18"/>
                <w:szCs w:val="18"/>
              </w:rPr>
              <w:t xml:space="preserve">The panel-to-pair ratio is given as 2.24 (p. 5), 2.22 (p. 89) and 5.74 (Table 4.10, p. 54).</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Three values come from different samples, none of which is named.</w:t>
            </w:r>
          </w:p>
        </w:tc>
        <w:tc>
          <w:tcPr>
            <w:tcW w:type="dxa" w:w="4079"/>
            <w:tcMar>
              <w:top w:type="dxa" w:w="60"/>
              <w:left w:type="dxa" w:w="90"/>
              <w:bottom w:type="dxa" w:w="60"/>
              <w:right w:type="dxa" w:w="90"/>
            </w:tcMar>
          </w:tcPr>
          <w:p>
            <w:pPr>
              <w:spacing w:after="40"/>
            </w:pPr>
            <w:r>
              <w:rPr>
                <w:sz w:val="18"/>
                <w:szCs w:val="18"/>
              </w:rPr>
              <w:t xml:space="preserve">Use one sample and name it.</w:t>
            </w:r>
          </w:p>
        </w:tc>
      </w:tr>
      <w:tr>
        <w:trPr>
          <w:cantSplit w:val="off"/>
        </w:trPr>
        <w:tc>
          <w:tcPr>
            <w:tcW w:type="dxa" w:w="729"/>
            <w:tcMar>
              <w:top w:type="dxa" w:w="60"/>
              <w:left w:type="dxa" w:w="90"/>
              <w:bottom w:type="dxa" w:w="60"/>
              <w:right w:type="dxa" w:w="90"/>
            </w:tcMar>
          </w:tcPr>
          <w:p>
            <w:pPr>
              <w:spacing w:after="40"/>
            </w:pPr>
            <w:r>
              <w:rPr>
                <w:sz w:val="18"/>
                <w:szCs w:val="18"/>
              </w:rPr>
              <w:t xml:space="preserve">3.5</w:t>
            </w:r>
          </w:p>
        </w:tc>
        <w:tc>
          <w:tcPr>
            <w:tcW w:type="dxa" w:w="3934"/>
            <w:tcMar>
              <w:top w:type="dxa" w:w="60"/>
              <w:left w:type="dxa" w:w="90"/>
              <w:bottom w:type="dxa" w:w="60"/>
              <w:right w:type="dxa" w:w="90"/>
            </w:tcMar>
          </w:tcPr>
          <w:p>
            <w:pPr>
              <w:spacing w:after="40"/>
            </w:pPr>
            <w:r>
              <w:rPr>
                <w:sz w:val="18"/>
                <w:szCs w:val="18"/>
              </w:rPr>
              <w:t xml:space="preserve">The benchmark AT1 sample is 16 pairs / 29 in total (pp. 8, 24), but Table 4.1 says 14 / 27 (p. 35).</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 direct contradiction. See MI-6.</w:t>
            </w:r>
          </w:p>
        </w:tc>
        <w:tc>
          <w:tcPr>
            <w:tcW w:type="dxa" w:w="4079"/>
            <w:tcMar>
              <w:top w:type="dxa" w:w="60"/>
              <w:left w:type="dxa" w:w="90"/>
              <w:bottom w:type="dxa" w:w="60"/>
              <w:right w:type="dxa" w:w="90"/>
            </w:tcMar>
          </w:tcPr>
          <w:p>
            <w:pPr>
              <w:spacing w:after="40"/>
            </w:pPr>
            <w:r>
              <w:rPr>
                <w:sz w:val="18"/>
                <w:szCs w:val="18"/>
              </w:rPr>
              <w:t xml:space="preserve">Reconcile the counts.</w:t>
            </w:r>
          </w:p>
        </w:tc>
      </w:tr>
      <w:tr>
        <w:trPr>
          <w:cantSplit w:val="off"/>
        </w:trPr>
        <w:tc>
          <w:tcPr>
            <w:tcW w:type="dxa" w:w="729"/>
            <w:tcMar>
              <w:top w:type="dxa" w:w="60"/>
              <w:left w:type="dxa" w:w="90"/>
              <w:bottom w:type="dxa" w:w="60"/>
              <w:right w:type="dxa" w:w="90"/>
            </w:tcMar>
          </w:tcPr>
          <w:p>
            <w:pPr>
              <w:spacing w:after="40"/>
            </w:pPr>
            <w:r>
              <w:rPr>
                <w:sz w:val="18"/>
                <w:szCs w:val="18"/>
              </w:rPr>
              <w:t xml:space="preserve">3.6</w:t>
            </w:r>
          </w:p>
        </w:tc>
        <w:tc>
          <w:tcPr>
            <w:tcW w:type="dxa" w:w="3934"/>
            <w:tcMar>
              <w:top w:type="dxa" w:w="60"/>
              <w:left w:type="dxa" w:w="90"/>
              <w:bottom w:type="dxa" w:w="60"/>
              <w:right w:type="dxa" w:w="90"/>
            </w:tcMar>
          </w:tcPr>
          <w:p>
            <w:pPr>
              <w:spacing w:after="40"/>
            </w:pPr>
            <w:r>
              <w:rPr>
                <w:sz w:val="18"/>
                <w:szCs w:val="18"/>
              </w:rPr>
              <w:t xml:space="preserve">No reason is given for matching bonds from different issuers rather than the same issuer (pp. 9–11).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Same-issuer matching is standard in this field (Zerbib, 2019; Larcker &amp; Watts, 2020; Becker et al., 2024). Examiners will ask.</w:t>
            </w:r>
          </w:p>
        </w:tc>
        <w:tc>
          <w:tcPr>
            <w:tcW w:type="dxa" w:w="4079"/>
            <w:tcMar>
              <w:top w:type="dxa" w:w="60"/>
              <w:left w:type="dxa" w:w="90"/>
              <w:bottom w:type="dxa" w:w="60"/>
              <w:right w:type="dxa" w:w="90"/>
            </w:tcMar>
          </w:tcPr>
          <w:p>
            <w:pPr>
              <w:spacing w:after="40"/>
            </w:pPr>
            <w:r>
              <w:rPr>
                <w:sz w:val="18"/>
                <w:szCs w:val="18"/>
              </w:rPr>
              <w:t xml:space="preserve">Explain the choice, and use same-issuer pairs where available.</w:t>
            </w:r>
          </w:p>
        </w:tc>
      </w:tr>
      <w:tr>
        <w:trPr>
          <w:cantSplit w:val="off"/>
        </w:trPr>
        <w:tc>
          <w:tcPr>
            <w:tcW w:type="dxa" w:w="729"/>
            <w:tcMar>
              <w:top w:type="dxa" w:w="60"/>
              <w:left w:type="dxa" w:w="90"/>
              <w:bottom w:type="dxa" w:w="60"/>
              <w:right w:type="dxa" w:w="90"/>
            </w:tcMar>
          </w:tcPr>
          <w:p>
            <w:pPr>
              <w:spacing w:after="40"/>
            </w:pPr>
            <w:r>
              <w:rPr>
                <w:sz w:val="18"/>
                <w:szCs w:val="18"/>
              </w:rPr>
              <w:t xml:space="preserve">3.7</w:t>
            </w:r>
          </w:p>
        </w:tc>
        <w:tc>
          <w:tcPr>
            <w:tcW w:type="dxa" w:w="3934"/>
            <w:tcMar>
              <w:top w:type="dxa" w:w="60"/>
              <w:left w:type="dxa" w:w="90"/>
              <w:bottom w:type="dxa" w:w="60"/>
              <w:right w:type="dxa" w:w="90"/>
            </w:tcMar>
          </w:tcPr>
          <w:p>
            <w:pPr>
              <w:spacing w:after="40"/>
            </w:pPr>
            <w:r>
              <w:rPr>
                <w:sz w:val="18"/>
                <w:szCs w:val="18"/>
              </w:rPr>
              <w:t xml:space="preserve">The original matching weights are lost (p. 11). The written protocol for the later pairs is not included. There are references to “Decision 6” and a separate note (p. 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design cannot be reproduced from the thesis.</w:t>
            </w:r>
          </w:p>
        </w:tc>
        <w:tc>
          <w:tcPr>
            <w:tcW w:type="dxa" w:w="4079"/>
            <w:tcMar>
              <w:top w:type="dxa" w:w="60"/>
              <w:left w:type="dxa" w:w="90"/>
              <w:bottom w:type="dxa" w:w="60"/>
              <w:right w:type="dxa" w:w="90"/>
            </w:tcMar>
          </w:tcPr>
          <w:p>
            <w:pPr>
              <w:spacing w:after="40"/>
            </w:pPr>
            <w:r>
              <w:rPr>
                <w:sz w:val="18"/>
                <w:szCs w:val="18"/>
              </w:rPr>
              <w:t xml:space="preserve">Add the protocol as an appendix. Delete the references to the note.</w:t>
            </w:r>
          </w:p>
        </w:tc>
      </w:tr>
      <w:tr>
        <w:trPr>
          <w:cantSplit w:val="off"/>
        </w:trPr>
        <w:tc>
          <w:tcPr>
            <w:tcW w:type="dxa" w:w="729"/>
            <w:tcMar>
              <w:top w:type="dxa" w:w="60"/>
              <w:left w:type="dxa" w:w="90"/>
              <w:bottom w:type="dxa" w:w="60"/>
              <w:right w:type="dxa" w:w="90"/>
            </w:tcMar>
          </w:tcPr>
          <w:p>
            <w:pPr>
              <w:spacing w:after="40"/>
            </w:pPr>
            <w:r>
              <w:rPr>
                <w:sz w:val="18"/>
                <w:szCs w:val="18"/>
              </w:rPr>
              <w:t xml:space="preserve">3.8</w:t>
            </w:r>
          </w:p>
        </w:tc>
        <w:tc>
          <w:tcPr>
            <w:tcW w:type="dxa" w:w="3934"/>
            <w:tcMar>
              <w:top w:type="dxa" w:w="60"/>
              <w:left w:type="dxa" w:w="90"/>
              <w:bottom w:type="dxa" w:w="60"/>
              <w:right w:type="dxa" w:w="90"/>
            </w:tcMar>
          </w:tcPr>
          <w:p>
            <w:pPr>
              <w:spacing w:after="40"/>
            </w:pPr>
            <w:r>
              <w:rPr>
                <w:sz w:val="18"/>
                <w:szCs w:val="18"/>
              </w:rPr>
              <w:t xml:space="preserve">§3.6 promises a check on common support but gives none (p. 12). No variable meets the balance target (Table 4.9, p. 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Overlap between the two groups is a key assumption of matching. Stuart (2010) and Rubin (2001) give standard balance checks, such as |SMD| &lt; 0.25 and variance ratios between 0.5 and 2.</w:t>
            </w:r>
          </w:p>
        </w:tc>
        <w:tc>
          <w:tcPr>
            <w:tcW w:type="dxa" w:w="4079"/>
            <w:tcMar>
              <w:top w:type="dxa" w:w="60"/>
              <w:left w:type="dxa" w:w="90"/>
              <w:bottom w:type="dxa" w:w="60"/>
              <w:right w:type="dxa" w:w="90"/>
            </w:tcMar>
          </w:tcPr>
          <w:p>
            <w:pPr>
              <w:spacing w:after="40"/>
            </w:pPr>
            <w:r>
              <w:rPr>
                <w:sz w:val="18"/>
                <w:szCs w:val="18"/>
              </w:rPr>
              <w:t xml:space="preserve">Add an overlap check and a stated tolerance. Add a bias-corrected estimate (Abadie &amp; Imbens, 2011).</w:t>
            </w:r>
          </w:p>
        </w:tc>
      </w:tr>
      <w:tr>
        <w:trPr>
          <w:cantSplit w:val="off"/>
        </w:trPr>
        <w:tc>
          <w:tcPr>
            <w:tcW w:type="dxa" w:w="729"/>
            <w:tcMar>
              <w:top w:type="dxa" w:w="60"/>
              <w:left w:type="dxa" w:w="90"/>
              <w:bottom w:type="dxa" w:w="60"/>
              <w:right w:type="dxa" w:w="90"/>
            </w:tcMar>
          </w:tcPr>
          <w:p>
            <w:pPr>
              <w:spacing w:after="40"/>
            </w:pPr>
            <w:r>
              <w:rPr>
                <w:sz w:val="18"/>
                <w:szCs w:val="18"/>
              </w:rPr>
              <w:t xml:space="preserve">3.9</w:t>
            </w:r>
          </w:p>
        </w:tc>
        <w:tc>
          <w:tcPr>
            <w:tcW w:type="dxa" w:w="3934"/>
            <w:tcMar>
              <w:top w:type="dxa" w:w="60"/>
              <w:left w:type="dxa" w:w="90"/>
              <w:bottom w:type="dxa" w:w="60"/>
              <w:right w:type="dxa" w:w="90"/>
            </w:tcMar>
          </w:tcPr>
          <w:p>
            <w:pPr>
              <w:spacing w:after="40"/>
            </w:pPr>
            <w:r>
              <w:rPr>
                <w:sz w:val="18"/>
                <w:szCs w:val="18"/>
              </w:rPr>
              <w:t xml:space="preserve">Data-cleaning rules were added after the results (p. 13). “Rule C” is named only on p. 33.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Choices made after seeing results (MI-3). The naming is also inconsistent.</w:t>
            </w:r>
          </w:p>
        </w:tc>
        <w:tc>
          <w:tcPr>
            <w:tcW w:type="dxa" w:w="4079"/>
            <w:tcMar>
              <w:top w:type="dxa" w:w="60"/>
              <w:left w:type="dxa" w:w="90"/>
              <w:bottom w:type="dxa" w:w="60"/>
              <w:right w:type="dxa" w:w="90"/>
            </w:tcMar>
          </w:tcPr>
          <w:p>
            <w:pPr>
              <w:spacing w:after="40"/>
            </w:pPr>
            <w:r>
              <w:rPr>
                <w:sz w:val="18"/>
                <w:szCs w:val="18"/>
              </w:rPr>
              <w:t xml:space="preserve">Name and justify each rule in §3.7. Show results before the rules as a check.</w:t>
            </w:r>
          </w:p>
        </w:tc>
      </w:tr>
      <w:tr>
        <w:trPr>
          <w:cantSplit w:val="off"/>
        </w:trPr>
        <w:tc>
          <w:tcPr>
            <w:tcW w:type="dxa" w:w="729"/>
            <w:tcMar>
              <w:top w:type="dxa" w:w="60"/>
              <w:left w:type="dxa" w:w="90"/>
              <w:bottom w:type="dxa" w:w="60"/>
              <w:right w:type="dxa" w:w="90"/>
            </w:tcMar>
          </w:tcPr>
          <w:p>
            <w:pPr>
              <w:spacing w:after="40"/>
            </w:pPr>
            <w:r>
              <w:rPr>
                <w:sz w:val="18"/>
                <w:szCs w:val="18"/>
              </w:rPr>
              <w:t xml:space="preserve">3.10</w:t>
            </w:r>
          </w:p>
        </w:tc>
        <w:tc>
          <w:tcPr>
            <w:tcW w:type="dxa" w:w="3934"/>
            <w:tcMar>
              <w:top w:type="dxa" w:w="60"/>
              <w:left w:type="dxa" w:w="90"/>
              <w:bottom w:type="dxa" w:w="60"/>
              <w:right w:type="dxa" w:w="90"/>
            </w:tcMar>
          </w:tcPr>
          <w:p>
            <w:pPr>
              <w:spacing w:after="40"/>
            </w:pPr>
            <w:r>
              <w:rPr>
                <w:sz w:val="18"/>
                <w:szCs w:val="18"/>
              </w:rPr>
              <w:t xml:space="preserve">Yield-to-maturity with mixed conventions is used for callable and perpetual bonds (pp. 2, 14–15).</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mixes in the option value (Kalotay et al., 1993). See MI-5.</w:t>
            </w:r>
          </w:p>
        </w:tc>
        <w:tc>
          <w:tcPr>
            <w:tcW w:type="dxa" w:w="4079"/>
            <w:tcMar>
              <w:top w:type="dxa" w:w="60"/>
              <w:left w:type="dxa" w:w="90"/>
              <w:bottom w:type="dxa" w:w="60"/>
              <w:right w:type="dxa" w:w="90"/>
            </w:tcMar>
          </w:tcPr>
          <w:p>
            <w:pPr>
              <w:spacing w:after="40"/>
            </w:pPr>
            <w:r>
              <w:rPr>
                <w:sz w:val="18"/>
                <w:szCs w:val="18"/>
              </w:rPr>
              <w:t xml:space="preserve">Use one convention, such as yield-to-worst.</w:t>
            </w:r>
          </w:p>
        </w:tc>
      </w:tr>
      <w:tr>
        <w:trPr>
          <w:cantSplit w:val="off"/>
        </w:trPr>
        <w:tc>
          <w:tcPr>
            <w:tcW w:type="dxa" w:w="729"/>
            <w:tcMar>
              <w:top w:type="dxa" w:w="60"/>
              <w:left w:type="dxa" w:w="90"/>
              <w:bottom w:type="dxa" w:w="60"/>
              <w:right w:type="dxa" w:w="90"/>
            </w:tcMar>
          </w:tcPr>
          <w:p>
            <w:pPr>
              <w:spacing w:after="40"/>
            </w:pPr>
            <w:r>
              <w:rPr>
                <w:sz w:val="18"/>
                <w:szCs w:val="18"/>
              </w:rPr>
              <w:t xml:space="preserve">3.11</w:t>
            </w:r>
          </w:p>
        </w:tc>
        <w:tc>
          <w:tcPr>
            <w:tcW w:type="dxa" w:w="3934"/>
            <w:tcMar>
              <w:top w:type="dxa" w:w="60"/>
              <w:left w:type="dxa" w:w="90"/>
              <w:bottom w:type="dxa" w:w="60"/>
              <w:right w:type="dxa" w:w="90"/>
            </w:tcMar>
          </w:tcPr>
          <w:p>
            <w:pPr>
              <w:spacing w:after="40"/>
            </w:pPr>
            <w:r>
              <w:rPr>
                <w:sz w:val="18"/>
                <w:szCs w:val="18"/>
              </w:rPr>
              <w:t xml:space="preserve">Which test decides? Table 3.1 (p. 5) says all five tests decide. Table 4.17 (p. 69) uses the t-test; §4.11 (p. 50) uses the sign-flip test.</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When the tests disagree, the reader cannot tell which result counts (see 4.7 and Figure 2).</w:t>
            </w:r>
          </w:p>
        </w:tc>
        <w:tc>
          <w:tcPr>
            <w:tcW w:type="dxa" w:w="4079"/>
            <w:tcMar>
              <w:top w:type="dxa" w:w="60"/>
              <w:left w:type="dxa" w:w="90"/>
              <w:bottom w:type="dxa" w:w="60"/>
              <w:right w:type="dxa" w:w="90"/>
            </w:tcMar>
          </w:tcPr>
          <w:p>
            <w:pPr>
              <w:spacing w:after="40"/>
            </w:pPr>
            <w:r>
              <w:rPr>
                <w:sz w:val="18"/>
                <w:szCs w:val="18"/>
              </w:rPr>
              <w:t xml:space="preserve">Name one deciding test in advance, and state what happens if the tests disagree.</w:t>
            </w:r>
          </w:p>
        </w:tc>
      </w:tr>
      <w:tr>
        <w:trPr>
          <w:cantSplit w:val="off"/>
        </w:trPr>
        <w:tc>
          <w:tcPr>
            <w:tcW w:type="dxa" w:w="729"/>
            <w:tcMar>
              <w:top w:type="dxa" w:w="60"/>
              <w:left w:type="dxa" w:w="90"/>
              <w:bottom w:type="dxa" w:w="60"/>
              <w:right w:type="dxa" w:w="90"/>
            </w:tcMar>
          </w:tcPr>
          <w:p>
            <w:pPr>
              <w:spacing w:after="40"/>
            </w:pPr>
            <w:r>
              <w:rPr>
                <w:sz w:val="18"/>
                <w:szCs w:val="18"/>
              </w:rPr>
              <w:t xml:space="preserve">3.12</w:t>
            </w:r>
          </w:p>
        </w:tc>
        <w:tc>
          <w:tcPr>
            <w:tcW w:type="dxa" w:w="3934"/>
            <w:tcMar>
              <w:top w:type="dxa" w:w="60"/>
              <w:left w:type="dxa" w:w="90"/>
              <w:bottom w:type="dxa" w:w="60"/>
              <w:right w:type="dxa" w:w="90"/>
            </w:tcMar>
          </w:tcPr>
          <w:p>
            <w:pPr>
              <w:spacing w:after="40"/>
            </w:pPr>
            <w:r>
              <w:rPr>
                <w:sz w:val="18"/>
                <w:szCs w:val="18"/>
              </w:rPr>
              <w:t xml:space="preserve">There are no preliminary checks on the distribution of the pair means (§3.8, pp. 15–17). Each test rests on an assumption: the t-test on roughly normal pair means, and the Wilcoxon and sign-flip tests on symmetry. Your own tables show clear skew. Callable: mean +39 bp but median −5 bp. AT1: mean +104 bp, median +128 bp. Labelled (window): mean −16 bp, median −4 bp (Table 4.1, p. 35). Single pairs reach +694 bp and +425 bp (Table 4.3, pp. 36–37).</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If the assumptions do not hold, the p-values and confidence intervals can be wrong: too small or too large. The mean itself is not biased, but a few extreme pairs can drive it, so it may not describe a typical pair. The sign-flip test is only valid under approximate symmetry (Canay, Romano &amp; Shaikh, 2017). With 17–30 pairs, the t-test cannot rely on large-sample theory either. Formal normality tests have little power at this sample size, and picking a test after a pre-test changes its error rate. So the checks and the fallback tests must be set out in advance.</w:t>
            </w:r>
          </w:p>
        </w:tc>
        <w:tc>
          <w:tcPr>
            <w:tcW w:type="dxa" w:w="4079"/>
            <w:tcMar>
              <w:top w:type="dxa" w:w="60"/>
              <w:left w:type="dxa" w:w="90"/>
              <w:bottom w:type="dxa" w:w="60"/>
              <w:right w:type="dxa" w:w="90"/>
            </w:tcMar>
          </w:tcPr>
          <w:p>
            <w:pPr>
              <w:spacing w:after="40"/>
            </w:pPr>
            <w:r>
              <w:rPr>
                <w:sz w:val="18"/>
                <w:szCs w:val="18"/>
              </w:rPr>
              <w:t xml:space="preserve">Add a short distribution-check step before the main tests: (i) a dot plot or histogram and a Q–Q plot of pair means for each class; (ii) report the mean, median, skewness and any outlying pairs; (iii) a formal normality and symmetry test, used as supporting evidence only; (iv) robust alternatives set in advance: the sign test (no symmetry needed), a bootstrap interval for the median or trimmed mean, and the Hodges–Lehmann estimate alongside the Wilcoxon test; (v) state whether any conclusion changes.</w:t>
            </w:r>
          </w:p>
        </w:tc>
      </w:tr>
      <w:tr>
        <w:trPr>
          <w:cantSplit w:val="off"/>
        </w:trPr>
        <w:tc>
          <w:tcPr>
            <w:tcW w:type="dxa" w:w="729"/>
            <w:tcMar>
              <w:top w:type="dxa" w:w="60"/>
              <w:left w:type="dxa" w:w="90"/>
              <w:bottom w:type="dxa" w:w="60"/>
              <w:right w:type="dxa" w:w="90"/>
            </w:tcMar>
          </w:tcPr>
          <w:p>
            <w:pPr>
              <w:spacing w:after="40"/>
            </w:pPr>
            <w:r>
              <w:rPr>
                <w:sz w:val="18"/>
                <w:szCs w:val="18"/>
              </w:rPr>
              <w:t xml:space="preserve">3.13</w:t>
            </w:r>
          </w:p>
        </w:tc>
        <w:tc>
          <w:tcPr>
            <w:tcW w:type="dxa" w:w="3934"/>
            <w:tcMar>
              <w:top w:type="dxa" w:w="60"/>
              <w:left w:type="dxa" w:w="90"/>
              <w:bottom w:type="dxa" w:w="60"/>
              <w:right w:type="dxa" w:w="90"/>
            </w:tcMar>
          </w:tcPr>
          <w:p>
            <w:pPr>
              <w:spacing w:after="40"/>
            </w:pPr>
            <w:r>
              <w:rPr>
                <w:sz w:val="18"/>
                <w:szCs w:val="18"/>
              </w:rPr>
              <w:t xml:space="preserve">The number of simulation draws is 999,999 on p. 16 but one million on p. 35. The rule for exact tests on p. 35 does not match the Table 4.2 caption (p. 36).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Small, but examiners notice.</w:t>
            </w:r>
          </w:p>
        </w:tc>
        <w:tc>
          <w:tcPr>
            <w:tcW w:type="dxa" w:w="4079"/>
            <w:tcMar>
              <w:top w:type="dxa" w:w="60"/>
              <w:left w:type="dxa" w:w="90"/>
              <w:bottom w:type="dxa" w:w="60"/>
              <w:right w:type="dxa" w:w="90"/>
            </w:tcMar>
          </w:tcPr>
          <w:p>
            <w:pPr>
              <w:spacing w:after="40"/>
            </w:pPr>
            <w:r>
              <w:rPr>
                <w:sz w:val="18"/>
                <w:szCs w:val="18"/>
              </w:rPr>
              <w:t xml:space="preserve">Make consistent.</w:t>
            </w:r>
          </w:p>
        </w:tc>
      </w:tr>
      <w:tr>
        <w:trPr>
          <w:cantSplit w:val="off"/>
        </w:trPr>
        <w:tc>
          <w:tcPr>
            <w:tcW w:type="dxa" w:w="729"/>
            <w:tcMar>
              <w:top w:type="dxa" w:w="60"/>
              <w:left w:type="dxa" w:w="90"/>
              <w:bottom w:type="dxa" w:w="60"/>
              <w:right w:type="dxa" w:w="90"/>
            </w:tcMar>
          </w:tcPr>
          <w:p>
            <w:pPr>
              <w:spacing w:after="40"/>
            </w:pPr>
            <w:r>
              <w:rPr>
                <w:sz w:val="18"/>
                <w:szCs w:val="18"/>
              </w:rPr>
              <w:t xml:space="preserve">3.14</w:t>
            </w:r>
          </w:p>
        </w:tc>
        <w:tc>
          <w:tcPr>
            <w:tcW w:type="dxa" w:w="3934"/>
            <w:tcMar>
              <w:top w:type="dxa" w:w="60"/>
              <w:left w:type="dxa" w:w="90"/>
              <w:bottom w:type="dxa" w:w="60"/>
              <w:right w:type="dxa" w:w="90"/>
            </w:tcMar>
          </w:tcPr>
          <w:p>
            <w:pPr>
              <w:spacing w:after="40"/>
            </w:pPr>
            <w:r>
              <w:rPr>
                <w:sz w:val="18"/>
                <w:szCs w:val="18"/>
              </w:rPr>
              <w:t xml:space="preserve">Power is calculated after the fact and reported in the methods chapter (p. 17).</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Power computed after the data are seen adds little (Hoenig &amp; Heisey, 2001). Confidence intervals are more useful.</w:t>
            </w:r>
          </w:p>
        </w:tc>
        <w:tc>
          <w:tcPr>
            <w:tcW w:type="dxa" w:w="4079"/>
            <w:tcMar>
              <w:top w:type="dxa" w:w="60"/>
              <w:left w:type="dxa" w:w="90"/>
              <w:bottom w:type="dxa" w:w="60"/>
              <w:right w:type="dxa" w:w="90"/>
            </w:tcMar>
          </w:tcPr>
          <w:p>
            <w:pPr>
              <w:spacing w:after="40"/>
            </w:pPr>
            <w:r>
              <w:rPr>
                <w:sz w:val="18"/>
                <w:szCs w:val="18"/>
              </w:rPr>
              <w:t xml:space="preserve">Report detectable effect sizes as a design limit. Move the numbers to Chapter 4.</w:t>
            </w:r>
          </w:p>
        </w:tc>
      </w:tr>
      <w:tr>
        <w:trPr>
          <w:cantSplit w:val="off"/>
        </w:trPr>
        <w:tc>
          <w:tcPr>
            <w:tcW w:type="dxa" w:w="729"/>
            <w:tcMar>
              <w:top w:type="dxa" w:w="60"/>
              <w:left w:type="dxa" w:w="90"/>
              <w:bottom w:type="dxa" w:w="60"/>
              <w:right w:type="dxa" w:w="90"/>
            </w:tcMar>
          </w:tcPr>
          <w:p>
            <w:pPr>
              <w:spacing w:after="40"/>
            </w:pPr>
            <w:r>
              <w:rPr>
                <w:sz w:val="18"/>
                <w:szCs w:val="18"/>
              </w:rPr>
              <w:t xml:space="preserve">3.15</w:t>
            </w:r>
          </w:p>
        </w:tc>
        <w:tc>
          <w:tcPr>
            <w:tcW w:type="dxa" w:w="3934"/>
            <w:tcMar>
              <w:top w:type="dxa" w:w="60"/>
              <w:left w:type="dxa" w:w="90"/>
              <w:bottom w:type="dxa" w:w="60"/>
              <w:right w:type="dxa" w:w="90"/>
            </w:tcMar>
          </w:tcPr>
          <w:p>
            <w:pPr>
              <w:spacing w:after="40"/>
            </w:pPr>
            <w:r>
              <w:rPr>
                <w:sz w:val="18"/>
                <w:szCs w:val="18"/>
              </w:rPr>
              <w:t xml:space="preserve">Holm results are reported in the methods chapter (p. 18). The correction ignores the multiple horizons, rules and samples.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Uncorrected multiple testing is a common cause of false findings (Harvey, 2017).</w:t>
            </w:r>
          </w:p>
        </w:tc>
        <w:tc>
          <w:tcPr>
            <w:tcW w:type="dxa" w:w="4079"/>
            <w:tcMar>
              <w:top w:type="dxa" w:w="60"/>
              <w:left w:type="dxa" w:w="90"/>
              <w:bottom w:type="dxa" w:w="60"/>
              <w:right w:type="dxa" w:w="90"/>
            </w:tcMar>
          </w:tcPr>
          <w:p>
            <w:pPr>
              <w:spacing w:after="40"/>
            </w:pPr>
            <w:r>
              <w:rPr>
                <w:sz w:val="18"/>
                <w:szCs w:val="18"/>
              </w:rPr>
              <w:t xml:space="preserve">Define the test family in advance, and report results in Chapter 4.</w:t>
            </w:r>
          </w:p>
        </w:tc>
      </w:tr>
      <w:tr>
        <w:trPr>
          <w:cantSplit w:val="off"/>
        </w:trPr>
        <w:tc>
          <w:tcPr>
            <w:tcW w:type="dxa" w:w="729"/>
            <w:tcMar>
              <w:top w:type="dxa" w:w="60"/>
              <w:left w:type="dxa" w:w="90"/>
              <w:bottom w:type="dxa" w:w="60"/>
              <w:right w:type="dxa" w:w="90"/>
            </w:tcMar>
          </w:tcPr>
          <w:p>
            <w:pPr>
              <w:spacing w:after="40"/>
            </w:pPr>
            <w:r>
              <w:rPr>
                <w:sz w:val="18"/>
                <w:szCs w:val="18"/>
              </w:rPr>
              <w:t xml:space="preserve">3.16</w:t>
            </w:r>
          </w:p>
        </w:tc>
        <w:tc>
          <w:tcPr>
            <w:tcW w:type="dxa" w:w="3934"/>
            <w:tcMar>
              <w:top w:type="dxa" w:w="60"/>
              <w:left w:type="dxa" w:w="90"/>
              <w:bottom w:type="dxa" w:w="60"/>
              <w:right w:type="dxa" w:w="90"/>
            </w:tcMar>
          </w:tcPr>
          <w:p>
            <w:pPr>
              <w:spacing w:after="40"/>
            </w:pPr>
            <w:r>
              <w:rPr>
                <w:sz w:val="18"/>
                <w:szCs w:val="18"/>
              </w:rPr>
              <w:t xml:space="preserve">The determinants objective (RO3) is left to a supervisory decision (pp. 21–22).</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Objective (b) is not answered. See MI-1.</w:t>
            </w:r>
          </w:p>
        </w:tc>
        <w:tc>
          <w:tcPr>
            <w:tcW w:type="dxa" w:w="4079"/>
            <w:tcMar>
              <w:top w:type="dxa" w:w="60"/>
              <w:left w:type="dxa" w:w="90"/>
              <w:bottom w:type="dxa" w:w="60"/>
              <w:right w:type="dxa" w:w="90"/>
            </w:tcMar>
          </w:tcPr>
          <w:p>
            <w:pPr>
              <w:spacing w:after="40"/>
            </w:pPr>
            <w:r>
              <w:rPr>
                <w:sz w:val="18"/>
                <w:szCs w:val="18"/>
              </w:rPr>
              <w:t xml:space="preserve">Build the determinants analysis.</w:t>
            </w:r>
          </w:p>
        </w:tc>
      </w:tr>
      <w:tr>
        <w:trPr>
          <w:cantSplit w:val="off"/>
        </w:trPr>
        <w:tc>
          <w:tcPr>
            <w:tcW w:type="dxa" w:w="729"/>
            <w:tcMar>
              <w:top w:type="dxa" w:w="60"/>
              <w:left w:type="dxa" w:w="90"/>
              <w:bottom w:type="dxa" w:w="60"/>
              <w:right w:type="dxa" w:w="90"/>
            </w:tcMar>
          </w:tcPr>
          <w:p>
            <w:pPr>
              <w:spacing w:after="40"/>
            </w:pPr>
            <w:r>
              <w:rPr>
                <w:sz w:val="18"/>
                <w:szCs w:val="18"/>
              </w:rPr>
              <w:t xml:space="preserve">3.17</w:t>
            </w:r>
          </w:p>
        </w:tc>
        <w:tc>
          <w:tcPr>
            <w:tcW w:type="dxa" w:w="3934"/>
            <w:tcMar>
              <w:top w:type="dxa" w:w="60"/>
              <w:left w:type="dxa" w:w="90"/>
              <w:bottom w:type="dxa" w:w="60"/>
              <w:right w:type="dxa" w:w="90"/>
            </w:tcMar>
          </w:tcPr>
          <w:p>
            <w:pPr>
              <w:spacing w:after="40"/>
            </w:pPr>
            <w:r>
              <w:rPr>
                <w:sz w:val="18"/>
                <w:szCs w:val="18"/>
              </w:rPr>
              <w:t xml:space="preserve">The reconciliation with the proposal (pp. 23–26) sits in the main text.</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is process documentation and breaks the flow.</w:t>
            </w:r>
          </w:p>
        </w:tc>
        <w:tc>
          <w:tcPr>
            <w:tcW w:type="dxa" w:w="4079"/>
            <w:tcMar>
              <w:top w:type="dxa" w:w="60"/>
              <w:left w:type="dxa" w:w="90"/>
              <w:bottom w:type="dxa" w:w="60"/>
              <w:right w:type="dxa" w:w="90"/>
            </w:tcMar>
          </w:tcPr>
          <w:p>
            <w:pPr>
              <w:spacing w:after="40"/>
            </w:pPr>
            <w:r>
              <w:rPr>
                <w:sz w:val="18"/>
                <w:szCs w:val="18"/>
              </w:rPr>
              <w:t xml:space="preserve">Move it to an appendix and keep a short summary.</w:t>
            </w:r>
          </w:p>
        </w:tc>
      </w:tr>
      <w:tr>
        <w:trPr>
          <w:cantSplit w:val="off"/>
        </w:trPr>
        <w:tc>
          <w:tcPr>
            <w:tcW w:type="dxa" w:w="729"/>
            <w:tcMar>
              <w:top w:type="dxa" w:w="60"/>
              <w:left w:type="dxa" w:w="90"/>
              <w:bottom w:type="dxa" w:w="60"/>
              <w:right w:type="dxa" w:w="90"/>
            </w:tcMar>
          </w:tcPr>
          <w:p>
            <w:pPr>
              <w:spacing w:after="40"/>
            </w:pPr>
            <w:r>
              <w:rPr>
                <w:sz w:val="18"/>
                <w:szCs w:val="18"/>
              </w:rPr>
              <w:t xml:space="preserve">3.18</w:t>
            </w:r>
          </w:p>
        </w:tc>
        <w:tc>
          <w:tcPr>
            <w:tcW w:type="dxa" w:w="3934"/>
            <w:tcMar>
              <w:top w:type="dxa" w:w="60"/>
              <w:left w:type="dxa" w:w="90"/>
              <w:bottom w:type="dxa" w:w="60"/>
              <w:right w:type="dxa" w:w="90"/>
            </w:tcMar>
          </w:tcPr>
          <w:p>
            <w:pPr>
              <w:spacing w:after="40"/>
            </w:pPr>
            <w:r>
              <w:rPr>
                <w:sz w:val="18"/>
                <w:szCs w:val="18"/>
              </w:rPr>
              <w:t xml:space="preserve">§3.16 reports results (pp. 27–28). Four methods used in Chapter 4 are never introduced in Chapter 3: the within-issuer panel, the hedonic regression, the time-to-call slope and the spread comparisons.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Their purpose and assumptions are never explained. The within-issuer panel also contradicts your own weighting argument in §3.2.</w:t>
            </w:r>
          </w:p>
        </w:tc>
        <w:tc>
          <w:tcPr>
            <w:tcW w:type="dxa" w:w="4079"/>
            <w:tcMar>
              <w:top w:type="dxa" w:w="60"/>
              <w:left w:type="dxa" w:w="90"/>
              <w:bottom w:type="dxa" w:w="60"/>
              <w:right w:type="dxa" w:w="90"/>
            </w:tcMar>
          </w:tcPr>
          <w:p>
            <w:pPr>
              <w:spacing w:after="40"/>
            </w:pPr>
            <w:r>
              <w:rPr>
                <w:sz w:val="18"/>
                <w:szCs w:val="18"/>
              </w:rPr>
              <w:t xml:space="preserve">Give each method a short subsection in Chapter 3: why it is used, how, its assumptions, and which objective it serves.</w:t>
            </w:r>
          </w:p>
        </w:tc>
      </w:tr>
    </w:tbl>
    <w:p>
      <w:pPr>
        <w:pStyle w:val="Heading2"/>
      </w:pPr>
      <w:r>
        <w:t xml:space="preserve">Chapter 4: Results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4.1</w:t>
            </w:r>
          </w:p>
        </w:tc>
        <w:tc>
          <w:tcPr>
            <w:tcW w:type="dxa" w:w="3934"/>
            <w:tcMar>
              <w:top w:type="dxa" w:w="60"/>
              <w:left w:type="dxa" w:w="90"/>
              <w:bottom w:type="dxa" w:w="60"/>
              <w:right w:type="dxa" w:w="90"/>
            </w:tcMar>
          </w:tcPr>
          <w:p>
            <w:pPr>
              <w:spacing w:after="40"/>
            </w:pPr>
            <w:r>
              <w:rPr>
                <w:sz w:val="18"/>
                <w:szCs w:val="18"/>
              </w:rPr>
              <w:t xml:space="preserve">p. 29 says the decisions are in §4.12.9; they are in §4.11.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Wrong cross-reference.</w:t>
            </w:r>
          </w:p>
        </w:tc>
        <w:tc>
          <w:tcPr>
            <w:tcW w:type="dxa" w:w="4079"/>
            <w:tcMar>
              <w:top w:type="dxa" w:w="60"/>
              <w:left w:type="dxa" w:w="90"/>
              <w:bottom w:type="dxa" w:w="60"/>
              <w:right w:type="dxa" w:w="90"/>
            </w:tcMar>
          </w:tcPr>
          <w:p>
            <w:pPr>
              <w:spacing w:after="40"/>
            </w:pPr>
            <w:r>
              <w:rPr>
                <w:sz w:val="18"/>
                <w:szCs w:val="18"/>
              </w:rPr>
              <w:t xml:space="preserve">Correct it.</w:t>
            </w:r>
          </w:p>
        </w:tc>
      </w:tr>
      <w:tr>
        <w:trPr>
          <w:cantSplit w:val="off"/>
        </w:trPr>
        <w:tc>
          <w:tcPr>
            <w:tcW w:type="dxa" w:w="729"/>
            <w:tcMar>
              <w:top w:type="dxa" w:w="60"/>
              <w:left w:type="dxa" w:w="90"/>
              <w:bottom w:type="dxa" w:w="60"/>
              <w:right w:type="dxa" w:w="90"/>
            </w:tcMar>
          </w:tcPr>
          <w:p>
            <w:pPr>
              <w:spacing w:after="40"/>
            </w:pPr>
            <w:r>
              <w:rPr>
                <w:sz w:val="18"/>
                <w:szCs w:val="18"/>
              </w:rPr>
              <w:t xml:space="preserve">4.2</w:t>
            </w:r>
          </w:p>
        </w:tc>
        <w:tc>
          <w:tcPr>
            <w:tcW w:type="dxa" w:w="3934"/>
            <w:tcMar>
              <w:top w:type="dxa" w:w="60"/>
              <w:left w:type="dxa" w:w="90"/>
              <w:bottom w:type="dxa" w:w="60"/>
              <w:right w:type="dxa" w:w="90"/>
            </w:tcMar>
          </w:tcPr>
          <w:p>
            <w:pPr>
              <w:spacing w:after="40"/>
            </w:pPr>
            <w:r>
              <w:rPr>
                <w:sz w:val="18"/>
                <w:szCs w:val="18"/>
              </w:rPr>
              <w:t xml:space="preserve">The chapter follows data history. §4.12 (pp. 51–72) repeats the old sample. Table 4.2 repeats Table 4.1 (pp. 35–36). The tables are out of order (pp. 50–52).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for data “presented in a logical manner”. See MI-2.</w:t>
            </w:r>
          </w:p>
        </w:tc>
        <w:tc>
          <w:tcPr>
            <w:tcW w:type="dxa" w:w="4079"/>
            <w:tcMar>
              <w:top w:type="dxa" w:w="60"/>
              <w:left w:type="dxa" w:w="90"/>
              <w:bottom w:type="dxa" w:w="60"/>
              <w:right w:type="dxa" w:w="90"/>
            </w:tcMar>
          </w:tcPr>
          <w:p>
            <w:pPr>
              <w:spacing w:after="40"/>
            </w:pPr>
            <w:r>
              <w:rPr>
                <w:sz w:val="18"/>
                <w:szCs w:val="18"/>
              </w:rPr>
              <w:t xml:space="preserve">Organise by hypothesis. Keep one comparison table; move the rest to an appendix.</w:t>
            </w:r>
          </w:p>
        </w:tc>
      </w:tr>
      <w:tr>
        <w:trPr>
          <w:cantSplit w:val="off"/>
        </w:trPr>
        <w:tc>
          <w:tcPr>
            <w:tcW w:type="dxa" w:w="729"/>
            <w:tcMar>
              <w:top w:type="dxa" w:w="60"/>
              <w:left w:type="dxa" w:w="90"/>
              <w:bottom w:type="dxa" w:w="60"/>
              <w:right w:type="dxa" w:w="90"/>
            </w:tcMar>
          </w:tcPr>
          <w:p>
            <w:pPr>
              <w:spacing w:after="40"/>
            </w:pPr>
            <w:r>
              <w:rPr>
                <w:sz w:val="18"/>
                <w:szCs w:val="18"/>
              </w:rPr>
              <w:t xml:space="preserve">4.3</w:t>
            </w:r>
          </w:p>
        </w:tc>
        <w:tc>
          <w:tcPr>
            <w:tcW w:type="dxa" w:w="3934"/>
            <w:tcMar>
              <w:top w:type="dxa" w:w="60"/>
              <w:left w:type="dxa" w:w="90"/>
              <w:bottom w:type="dxa" w:w="60"/>
              <w:right w:type="dxa" w:w="90"/>
            </w:tcMar>
          </w:tcPr>
          <w:p>
            <w:pPr>
              <w:spacing w:after="40"/>
            </w:pPr>
            <w:r>
              <w:rPr>
                <w:sz w:val="18"/>
                <w:szCs w:val="18"/>
              </w:rPr>
              <w:t xml:space="preserve">There are no figures for the final sample. Figures 4.1–4.3 (pp. 56, 58, 65) show only the old sample.</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for results in both text and figures.</w:t>
            </w:r>
          </w:p>
        </w:tc>
        <w:tc>
          <w:tcPr>
            <w:tcW w:type="dxa" w:w="4079"/>
            <w:tcMar>
              <w:top w:type="dxa" w:w="60"/>
              <w:left w:type="dxa" w:w="90"/>
              <w:bottom w:type="dxa" w:w="60"/>
              <w:right w:type="dxa" w:w="90"/>
            </w:tcMar>
          </w:tcPr>
          <w:p>
            <w:pPr>
              <w:spacing w:after="40"/>
            </w:pPr>
            <w:r>
              <w:rPr>
                <w:sz w:val="18"/>
                <w:szCs w:val="18"/>
              </w:rPr>
              <w:t xml:space="preserve">Add figures for the final results, for example Figure 1 above and differences over time with March 2023 marked.</w:t>
            </w:r>
          </w:p>
        </w:tc>
      </w:tr>
      <w:tr>
        <w:trPr>
          <w:cantSplit w:val="off"/>
        </w:trPr>
        <w:tc>
          <w:tcPr>
            <w:tcW w:type="dxa" w:w="729"/>
            <w:tcMar>
              <w:top w:type="dxa" w:w="60"/>
              <w:left w:type="dxa" w:w="90"/>
              <w:bottom w:type="dxa" w:w="60"/>
              <w:right w:type="dxa" w:w="90"/>
            </w:tcMar>
          </w:tcPr>
          <w:p>
            <w:pPr>
              <w:spacing w:after="40"/>
            </w:pPr>
            <w:r>
              <w:rPr>
                <w:sz w:val="18"/>
                <w:szCs w:val="18"/>
              </w:rPr>
              <w:t xml:space="preserve">4.4</w:t>
            </w:r>
          </w:p>
        </w:tc>
        <w:tc>
          <w:tcPr>
            <w:tcW w:type="dxa" w:w="3934"/>
            <w:tcMar>
              <w:top w:type="dxa" w:w="60"/>
              <w:left w:type="dxa" w:w="90"/>
              <w:bottom w:type="dxa" w:w="60"/>
              <w:right w:type="dxa" w:w="90"/>
            </w:tcMar>
          </w:tcPr>
          <w:p>
            <w:pPr>
              <w:spacing w:after="40"/>
            </w:pPr>
            <w:r>
              <w:rPr>
                <w:sz w:val="18"/>
                <w:szCs w:val="18"/>
              </w:rPr>
              <w:t xml:space="preserve">The AT1 liquidity gap is reported as −1.32, −0.87, −0.31, −0.60, −0.85 and −1.37 (pp. 30, 45, 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same statistic appears in several versions. See MI-6.</w:t>
            </w:r>
          </w:p>
        </w:tc>
        <w:tc>
          <w:tcPr>
            <w:tcW w:type="dxa" w:w="4079"/>
            <w:tcMar>
              <w:top w:type="dxa" w:w="60"/>
              <w:left w:type="dxa" w:w="90"/>
              <w:bottom w:type="dxa" w:w="60"/>
              <w:right w:type="dxa" w:w="90"/>
            </w:tcMar>
          </w:tcPr>
          <w:p>
            <w:pPr>
              <w:spacing w:after="40"/>
            </w:pPr>
            <w:r>
              <w:rPr>
                <w:sz w:val="18"/>
                <w:szCs w:val="18"/>
              </w:rPr>
              <w:t xml:space="preserve">Define it once and report it once.</w:t>
            </w:r>
          </w:p>
        </w:tc>
      </w:tr>
      <w:tr>
        <w:trPr>
          <w:cantSplit w:val="off"/>
        </w:trPr>
        <w:tc>
          <w:tcPr>
            <w:tcW w:type="dxa" w:w="729"/>
            <w:tcMar>
              <w:top w:type="dxa" w:w="60"/>
              <w:left w:type="dxa" w:w="90"/>
              <w:bottom w:type="dxa" w:w="60"/>
              <w:right w:type="dxa" w:w="90"/>
            </w:tcMar>
          </w:tcPr>
          <w:p>
            <w:pPr>
              <w:spacing w:after="40"/>
            </w:pPr>
            <w:r>
              <w:rPr>
                <w:sz w:val="18"/>
                <w:szCs w:val="18"/>
              </w:rPr>
              <w:t xml:space="preserve">4.5</w:t>
            </w:r>
          </w:p>
        </w:tc>
        <w:tc>
          <w:tcPr>
            <w:tcW w:type="dxa" w:w="3934"/>
            <w:tcMar>
              <w:top w:type="dxa" w:w="60"/>
              <w:left w:type="dxa" w:w="90"/>
              <w:bottom w:type="dxa" w:w="60"/>
              <w:right w:type="dxa" w:w="90"/>
            </w:tcMar>
          </w:tcPr>
          <w:p>
            <w:pPr>
              <w:spacing w:after="40"/>
            </w:pPr>
            <w:r>
              <w:rPr>
                <w:sz w:val="18"/>
                <w:szCs w:val="18"/>
              </w:rPr>
              <w:t xml:space="preserve">The draft says most callable sukuk have only short calls near maturity (pp. 31, 47, 73).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Table 4.6 (p. 48) shows a median gap of 630 days across all 20 callables. The claim is true only for the 11 fixed-coupon ones.</w:t>
            </w:r>
          </w:p>
        </w:tc>
        <w:tc>
          <w:tcPr>
            <w:tcW w:type="dxa" w:w="4079"/>
            <w:tcMar>
              <w:top w:type="dxa" w:w="60"/>
              <w:left w:type="dxa" w:w="90"/>
              <w:bottom w:type="dxa" w:w="60"/>
              <w:right w:type="dxa" w:w="90"/>
            </w:tcMar>
          </w:tcPr>
          <w:p>
            <w:pPr>
              <w:spacing w:after="40"/>
            </w:pPr>
            <w:r>
              <w:rPr>
                <w:sz w:val="18"/>
                <w:szCs w:val="18"/>
              </w:rPr>
              <w:t xml:space="preserve">Limit the claim to fixed-coupon bonds, and show the gaps for the bonds actually in your sample.</w:t>
            </w:r>
          </w:p>
        </w:tc>
      </w:tr>
      <w:tr>
        <w:trPr>
          <w:cantSplit w:val="off"/>
        </w:trPr>
        <w:tc>
          <w:tcPr>
            <w:tcW w:type="dxa" w:w="729"/>
            <w:tcMar>
              <w:top w:type="dxa" w:w="60"/>
              <w:left w:type="dxa" w:w="90"/>
              <w:bottom w:type="dxa" w:w="60"/>
              <w:right w:type="dxa" w:w="90"/>
            </w:tcMar>
          </w:tcPr>
          <w:p>
            <w:pPr>
              <w:spacing w:after="40"/>
            </w:pPr>
            <w:r>
              <w:rPr>
                <w:sz w:val="18"/>
                <w:szCs w:val="18"/>
              </w:rPr>
              <w:t xml:space="preserve">4.6</w:t>
            </w:r>
          </w:p>
        </w:tc>
        <w:tc>
          <w:tcPr>
            <w:tcW w:type="dxa" w:w="3934"/>
            <w:tcMar>
              <w:top w:type="dxa" w:w="60"/>
              <w:left w:type="dxa" w:w="90"/>
              <w:bottom w:type="dxa" w:w="60"/>
              <w:right w:type="dxa" w:w="90"/>
            </w:tcMar>
          </w:tcPr>
          <w:p>
            <w:pPr>
              <w:spacing w:after="40"/>
            </w:pPr>
            <w:r>
              <w:rPr>
                <w:sz w:val="18"/>
                <w:szCs w:val="18"/>
              </w:rPr>
              <w:t xml:space="preserve">The AT1 bootstrap interval is given as +21.9 to +185.8 on p. 32, but +30.4 to +183.0 on pp. 35 and 76.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p. 32 figures are the t-interval, not the bootstrap.</w:t>
            </w:r>
          </w:p>
        </w:tc>
        <w:tc>
          <w:tcPr>
            <w:tcW w:type="dxa" w:w="4079"/>
            <w:tcMar>
              <w:top w:type="dxa" w:w="60"/>
              <w:left w:type="dxa" w:w="90"/>
              <w:bottom w:type="dxa" w:w="60"/>
              <w:right w:type="dxa" w:w="90"/>
            </w:tcMar>
          </w:tcPr>
          <w:p>
            <w:pPr>
              <w:spacing w:after="40"/>
            </w:pPr>
            <w:r>
              <w:rPr>
                <w:sz w:val="18"/>
                <w:szCs w:val="18"/>
              </w:rPr>
              <w:t xml:space="preserve">Correct it.</w:t>
            </w:r>
          </w:p>
        </w:tc>
      </w:tr>
      <w:tr>
        <w:trPr>
          <w:cantSplit w:val="off"/>
        </w:trPr>
        <w:tc>
          <w:tcPr>
            <w:tcW w:type="dxa" w:w="729"/>
            <w:tcMar>
              <w:top w:type="dxa" w:w="60"/>
              <w:left w:type="dxa" w:w="90"/>
              <w:bottom w:type="dxa" w:w="60"/>
              <w:right w:type="dxa" w:w="90"/>
            </w:tcMar>
          </w:tcPr>
          <w:p>
            <w:pPr>
              <w:spacing w:after="40"/>
            </w:pPr>
            <w:r>
              <w:rPr>
                <w:sz w:val="18"/>
                <w:szCs w:val="18"/>
              </w:rPr>
              <w:t xml:space="preserve">4.7</w:t>
            </w:r>
          </w:p>
        </w:tc>
        <w:tc>
          <w:tcPr>
            <w:tcW w:type="dxa" w:w="3934"/>
            <w:tcMar>
              <w:top w:type="dxa" w:w="60"/>
              <w:left w:type="dxa" w:w="90"/>
              <w:bottom w:type="dxa" w:w="60"/>
              <w:right w:type="dxa" w:w="90"/>
            </w:tcMar>
          </w:tcPr>
          <w:p>
            <w:pPr>
              <w:spacing w:after="40"/>
            </w:pPr>
            <w:r>
              <w:rPr>
                <w:sz w:val="18"/>
                <w:szCs w:val="18"/>
              </w:rPr>
              <w:t xml:space="preserve">Green sukuk, pre-specified window (pp. 33–34): the sign-flip test (p = 0.017) and t-test (0.020) are significant, but the Wilcoxon test (0.085) and the sign test (0.69) are not. This is not discussed.</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 sign-test p of 0.69 means about half the pairs are negative. A few large Indonesian sovereign pairs drive the average. The AT1 result, by contrast, holds on all four tests (Figure 2).</w:t>
            </w:r>
          </w:p>
        </w:tc>
        <w:tc>
          <w:tcPr>
            <w:tcW w:type="dxa" w:w="4079"/>
            <w:tcMar>
              <w:top w:type="dxa" w:w="60"/>
              <w:left w:type="dxa" w:w="90"/>
              <w:bottom w:type="dxa" w:w="60"/>
              <w:right w:type="dxa" w:w="90"/>
            </w:tcMar>
          </w:tcPr>
          <w:p>
            <w:pPr>
              <w:spacing w:after="40"/>
            </w:pPr>
            <w:r>
              <w:rPr>
                <w:sz w:val="18"/>
                <w:szCs w:val="18"/>
              </w:rPr>
              <w:t xml:space="preserve">Report and explain the disagreement. It shows where the green-label effect sits (see 5.8).</w:t>
            </w:r>
          </w:p>
        </w:tc>
      </w:tr>
      <w:tr>
        <w:trPr>
          <w:cantSplit w:val="off"/>
        </w:trPr>
        <w:tc>
          <w:tcPr>
            <w:tcW w:type="dxa" w:w="729"/>
            <w:tcMar>
              <w:top w:type="dxa" w:w="60"/>
              <w:left w:type="dxa" w:w="90"/>
              <w:bottom w:type="dxa" w:w="60"/>
              <w:right w:type="dxa" w:w="90"/>
            </w:tcMar>
          </w:tcPr>
          <w:p>
            <w:pPr>
              <w:spacing w:after="40"/>
            </w:pPr>
            <w:r>
              <w:rPr>
                <w:sz w:val="18"/>
                <w:szCs w:val="18"/>
              </w:rPr>
              <w:t xml:space="preserve">4.8</w:t>
            </w:r>
          </w:p>
        </w:tc>
        <w:tc>
          <w:tcPr>
            <w:tcW w:type="dxa" w:w="3934"/>
            <w:tcMar>
              <w:top w:type="dxa" w:w="60"/>
              <w:left w:type="dxa" w:w="90"/>
              <w:bottom w:type="dxa" w:w="60"/>
              <w:right w:type="dxa" w:w="90"/>
            </w:tcMar>
          </w:tcPr>
          <w:p>
            <w:pPr>
              <w:spacing w:after="40"/>
            </w:pPr>
            <w:r>
              <w:rPr>
                <w:sz w:val="18"/>
                <w:szCs w:val="18"/>
              </w:rPr>
              <w:t xml:space="preserve">AT1: the spread difference ranges from −139 to +157 bp against a yield difference of +104 bp (p. 38).</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It raises doubt about the main measure. See MI-5.</w:t>
            </w:r>
          </w:p>
        </w:tc>
        <w:tc>
          <w:tcPr>
            <w:tcW w:type="dxa" w:w="4079"/>
            <w:tcMar>
              <w:top w:type="dxa" w:w="60"/>
              <w:left w:type="dxa" w:w="90"/>
              <w:bottom w:type="dxa" w:w="60"/>
              <w:right w:type="dxa" w:w="90"/>
            </w:tcMar>
          </w:tcPr>
          <w:p>
            <w:pPr>
              <w:spacing w:after="40"/>
            </w:pPr>
            <w:r>
              <w:rPr>
                <w:sz w:val="18"/>
                <w:szCs w:val="18"/>
              </w:rPr>
              <w:t xml:space="preserve">Check pair by pair and use one yield convention.</w:t>
            </w:r>
          </w:p>
        </w:tc>
      </w:tr>
      <w:tr>
        <w:trPr>
          <w:cantSplit w:val="off"/>
        </w:trPr>
        <w:tc>
          <w:tcPr>
            <w:tcW w:type="dxa" w:w="729"/>
            <w:tcMar>
              <w:top w:type="dxa" w:w="60"/>
              <w:left w:type="dxa" w:w="90"/>
              <w:bottom w:type="dxa" w:w="60"/>
              <w:right w:type="dxa" w:w="90"/>
            </w:tcMar>
          </w:tcPr>
          <w:p>
            <w:pPr>
              <w:spacing w:after="40"/>
            </w:pPr>
            <w:r>
              <w:rPr>
                <w:sz w:val="18"/>
                <w:szCs w:val="18"/>
              </w:rPr>
              <w:t xml:space="preserve">4.9</w:t>
            </w:r>
          </w:p>
        </w:tc>
        <w:tc>
          <w:tcPr>
            <w:tcW w:type="dxa" w:w="3934"/>
            <w:tcMar>
              <w:top w:type="dxa" w:w="60"/>
              <w:left w:type="dxa" w:w="90"/>
              <w:bottom w:type="dxa" w:w="60"/>
              <w:right w:type="dxa" w:w="90"/>
            </w:tcMar>
          </w:tcPr>
          <w:p>
            <w:pPr>
              <w:spacing w:after="40"/>
            </w:pPr>
            <w:r>
              <w:rPr>
                <w:sz w:val="18"/>
                <w:szCs w:val="18"/>
              </w:rPr>
              <w:t xml:space="preserve">The re-matching exercise mentions “41 of 67” pairs (p. 38), but the study has 72. “About twenty bp” (p. 90) should be 15.8 bp.</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 numbers.</w:t>
            </w:r>
          </w:p>
        </w:tc>
        <w:tc>
          <w:tcPr>
            <w:tcW w:type="dxa" w:w="4079"/>
            <w:tcMar>
              <w:top w:type="dxa" w:w="60"/>
              <w:left w:type="dxa" w:w="90"/>
              <w:bottom w:type="dxa" w:w="60"/>
              <w:right w:type="dxa" w:w="90"/>
            </w:tcMar>
          </w:tcPr>
          <w:p>
            <w:pPr>
              <w:spacing w:after="40"/>
            </w:pPr>
            <w:r>
              <w:rPr>
                <w:sz w:val="18"/>
                <w:szCs w:val="18"/>
              </w:rPr>
              <w:t xml:space="preserve">Correct both.</w:t>
            </w:r>
          </w:p>
        </w:tc>
      </w:tr>
      <w:tr>
        <w:trPr>
          <w:cantSplit w:val="off"/>
        </w:trPr>
        <w:tc>
          <w:tcPr>
            <w:tcW w:type="dxa" w:w="729"/>
            <w:tcMar>
              <w:top w:type="dxa" w:w="60"/>
              <w:left w:type="dxa" w:w="90"/>
              <w:bottom w:type="dxa" w:w="60"/>
              <w:right w:type="dxa" w:w="90"/>
            </w:tcMar>
          </w:tcPr>
          <w:p>
            <w:pPr>
              <w:spacing w:after="40"/>
            </w:pPr>
            <w:r>
              <w:rPr>
                <w:sz w:val="18"/>
                <w:szCs w:val="18"/>
              </w:rPr>
              <w:t xml:space="preserve">4.10</w:t>
            </w:r>
          </w:p>
        </w:tc>
        <w:tc>
          <w:tcPr>
            <w:tcW w:type="dxa" w:w="3934"/>
            <w:tcMar>
              <w:top w:type="dxa" w:w="60"/>
              <w:left w:type="dxa" w:w="90"/>
              <w:bottom w:type="dxa" w:w="60"/>
              <w:right w:type="dxa" w:w="90"/>
            </w:tcMar>
          </w:tcPr>
          <w:p>
            <w:pPr>
              <w:spacing w:after="40"/>
            </w:pPr>
            <w:r>
              <w:rPr>
                <w:sz w:val="18"/>
                <w:szCs w:val="18"/>
              </w:rPr>
              <w:t xml:space="preserve">The within-issuer panel first appears in the results (pp. 39–42). The within-bank estimate is 106.0 in the text (p. 40) but 94.49 in Table 4.4 (p. 41). There are wrong references to §4.6 and §3.16 (p. 40).</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Your strongest design is treated as a side analysis, with conflicting numbers.</w:t>
            </w:r>
          </w:p>
        </w:tc>
        <w:tc>
          <w:tcPr>
            <w:tcW w:type="dxa" w:w="4079"/>
            <w:tcMar>
              <w:top w:type="dxa" w:w="60"/>
              <w:left w:type="dxa" w:w="90"/>
              <w:bottom w:type="dxa" w:w="60"/>
              <w:right w:type="dxa" w:w="90"/>
            </w:tcMar>
          </w:tcPr>
          <w:p>
            <w:pPr>
              <w:spacing w:after="40"/>
            </w:pPr>
            <w:r>
              <w:rPr>
                <w:sz w:val="18"/>
                <w:szCs w:val="18"/>
              </w:rPr>
              <w:t xml:space="preserve">Introduce it in Chapter 3, make it a main test of H1b (MI-4), and fix the numbers and references.</w:t>
            </w:r>
          </w:p>
        </w:tc>
      </w:tr>
      <w:tr>
        <w:trPr>
          <w:cantSplit w:val="off"/>
        </w:trPr>
        <w:tc>
          <w:tcPr>
            <w:tcW w:type="dxa" w:w="729"/>
            <w:tcMar>
              <w:top w:type="dxa" w:w="60"/>
              <w:left w:type="dxa" w:w="90"/>
              <w:bottom w:type="dxa" w:w="60"/>
              <w:right w:type="dxa" w:w="90"/>
            </w:tcMar>
          </w:tcPr>
          <w:p>
            <w:pPr>
              <w:spacing w:after="40"/>
            </w:pPr>
            <w:r>
              <w:rPr>
                <w:sz w:val="18"/>
                <w:szCs w:val="18"/>
              </w:rPr>
              <w:t xml:space="preserve">4.11</w:t>
            </w:r>
          </w:p>
        </w:tc>
        <w:tc>
          <w:tcPr>
            <w:tcW w:type="dxa" w:w="3934"/>
            <w:tcMar>
              <w:top w:type="dxa" w:w="60"/>
              <w:left w:type="dxa" w:w="90"/>
              <w:bottom w:type="dxa" w:w="60"/>
              <w:right w:type="dxa" w:w="90"/>
            </w:tcMar>
          </w:tcPr>
          <w:p>
            <w:pPr>
              <w:spacing w:after="40"/>
            </w:pPr>
            <w:r>
              <w:rPr>
                <w:sz w:val="18"/>
                <w:szCs w:val="18"/>
              </w:rPr>
              <w:t xml:space="preserve">The hedonic green coefficient is −112 bp (p. 40; Table 4.4).</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is far out of line with every other estimate, and you call the model unreliable yourself.</w:t>
            </w:r>
          </w:p>
        </w:tc>
        <w:tc>
          <w:tcPr>
            <w:tcW w:type="dxa" w:w="4079"/>
            <w:tcMar>
              <w:top w:type="dxa" w:w="60"/>
              <w:left w:type="dxa" w:w="90"/>
              <w:bottom w:type="dxa" w:w="60"/>
              <w:right w:type="dxa" w:w="90"/>
            </w:tcMar>
          </w:tcPr>
          <w:p>
            <w:pPr>
              <w:spacing w:after="40"/>
            </w:pPr>
            <w:r>
              <w:rPr>
                <w:sz w:val="18"/>
                <w:szCs w:val="18"/>
              </w:rPr>
              <w:t xml:space="preserve">Drop it or explain it.</w:t>
            </w:r>
          </w:p>
        </w:tc>
      </w:tr>
      <w:tr>
        <w:trPr>
          <w:cantSplit w:val="off"/>
        </w:trPr>
        <w:tc>
          <w:tcPr>
            <w:tcW w:type="dxa" w:w="729"/>
            <w:tcMar>
              <w:top w:type="dxa" w:w="60"/>
              <w:left w:type="dxa" w:w="90"/>
              <w:bottom w:type="dxa" w:w="60"/>
              <w:right w:type="dxa" w:w="90"/>
            </w:tcMar>
          </w:tcPr>
          <w:p>
            <w:pPr>
              <w:spacing w:after="40"/>
            </w:pPr>
            <w:r>
              <w:rPr>
                <w:sz w:val="18"/>
                <w:szCs w:val="18"/>
              </w:rPr>
              <w:t xml:space="preserve">4.12</w:t>
            </w:r>
          </w:p>
        </w:tc>
        <w:tc>
          <w:tcPr>
            <w:tcW w:type="dxa" w:w="3934"/>
            <w:tcMar>
              <w:top w:type="dxa" w:w="60"/>
              <w:left w:type="dxa" w:w="90"/>
              <w:bottom w:type="dxa" w:w="60"/>
              <w:right w:type="dxa" w:w="90"/>
            </w:tcMar>
          </w:tcPr>
          <w:p>
            <w:pPr>
              <w:spacing w:after="40"/>
            </w:pPr>
            <w:r>
              <w:rPr>
                <w:sz w:val="18"/>
                <w:szCs w:val="18"/>
              </w:rPr>
              <w:t xml:space="preserve">The verification-group estimate is −8.3 in the text but −6.64 in Table 4.4 (p. 41).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w:t>
            </w:r>
          </w:p>
        </w:tc>
        <w:tc>
          <w:tcPr>
            <w:tcW w:type="dxa" w:w="4079"/>
            <w:tcMar>
              <w:top w:type="dxa" w:w="60"/>
              <w:left w:type="dxa" w:w="90"/>
              <w:bottom w:type="dxa" w:w="60"/>
              <w:right w:type="dxa" w:w="90"/>
            </w:tcMar>
          </w:tcPr>
          <w:p>
            <w:pPr>
              <w:spacing w:after="40"/>
            </w:pPr>
            <w:r>
              <w:rPr>
                <w:sz w:val="18"/>
                <w:szCs w:val="18"/>
              </w:rPr>
              <w:t xml:space="preserve">Reconcile.</w:t>
            </w:r>
          </w:p>
        </w:tc>
      </w:tr>
      <w:tr>
        <w:trPr>
          <w:cantSplit w:val="off"/>
        </w:trPr>
        <w:tc>
          <w:tcPr>
            <w:tcW w:type="dxa" w:w="729"/>
            <w:tcMar>
              <w:top w:type="dxa" w:w="60"/>
              <w:left w:type="dxa" w:w="90"/>
              <w:bottom w:type="dxa" w:w="60"/>
              <w:right w:type="dxa" w:w="90"/>
            </w:tcMar>
          </w:tcPr>
          <w:p>
            <w:pPr>
              <w:spacing w:after="40"/>
            </w:pPr>
            <w:r>
              <w:rPr>
                <w:sz w:val="18"/>
                <w:szCs w:val="18"/>
              </w:rPr>
              <w:t xml:space="preserve">4.13</w:t>
            </w:r>
          </w:p>
        </w:tc>
        <w:tc>
          <w:tcPr>
            <w:tcW w:type="dxa" w:w="3934"/>
            <w:tcMar>
              <w:top w:type="dxa" w:w="60"/>
              <w:left w:type="dxa" w:w="90"/>
              <w:bottom w:type="dxa" w:w="60"/>
              <w:right w:type="dxa" w:w="90"/>
            </w:tcMar>
          </w:tcPr>
          <w:p>
            <w:pPr>
              <w:spacing w:after="40"/>
            </w:pPr>
            <w:r>
              <w:rPr>
                <w:sz w:val="18"/>
                <w:szCs w:val="18"/>
              </w:rPr>
              <w:t xml:space="preserve">“Every Gulf first call … was exercised” (p. 43).</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Al Baraka Group (Bahrain) was not called (Table 4.5, p. 46).</w:t>
            </w:r>
          </w:p>
        </w:tc>
        <w:tc>
          <w:tcPr>
            <w:tcW w:type="dxa" w:w="4079"/>
            <w:tcMar>
              <w:top w:type="dxa" w:w="60"/>
              <w:left w:type="dxa" w:w="90"/>
              <w:bottom w:type="dxa" w:w="60"/>
              <w:right w:type="dxa" w:w="90"/>
            </w:tcMar>
          </w:tcPr>
          <w:p>
            <w:pPr>
              <w:spacing w:after="40"/>
            </w:pPr>
            <w:r>
              <w:rPr>
                <w:sz w:val="18"/>
                <w:szCs w:val="18"/>
              </w:rPr>
              <w:t xml:space="preserve">Qualify the sentence.</w:t>
            </w:r>
          </w:p>
        </w:tc>
      </w:tr>
      <w:tr>
        <w:trPr>
          <w:cantSplit w:val="off"/>
        </w:trPr>
        <w:tc>
          <w:tcPr>
            <w:tcW w:type="dxa" w:w="729"/>
            <w:tcMar>
              <w:top w:type="dxa" w:w="60"/>
              <w:left w:type="dxa" w:w="90"/>
              <w:bottom w:type="dxa" w:w="60"/>
              <w:right w:type="dxa" w:w="90"/>
            </w:tcMar>
          </w:tcPr>
          <w:p>
            <w:pPr>
              <w:spacing w:after="40"/>
            </w:pPr>
            <w:r>
              <w:rPr>
                <w:sz w:val="18"/>
                <w:szCs w:val="18"/>
              </w:rPr>
              <w:t xml:space="preserve">4.14</w:t>
            </w:r>
          </w:p>
        </w:tc>
        <w:tc>
          <w:tcPr>
            <w:tcW w:type="dxa" w:w="3934"/>
            <w:tcMar>
              <w:top w:type="dxa" w:w="60"/>
              <w:left w:type="dxa" w:w="90"/>
              <w:bottom w:type="dxa" w:w="60"/>
              <w:right w:type="dxa" w:w="90"/>
            </w:tcMar>
          </w:tcPr>
          <w:p>
            <w:pPr>
              <w:spacing w:after="40"/>
            </w:pPr>
            <w:r>
              <w:rPr>
                <w:sz w:val="18"/>
                <w:szCs w:val="18"/>
              </w:rPr>
              <w:t xml:space="preserve">The option-adjusted comparison uses the old panel (p. 44).</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cannot be compared with the main results.</w:t>
            </w:r>
          </w:p>
        </w:tc>
        <w:tc>
          <w:tcPr>
            <w:tcW w:type="dxa" w:w="4079"/>
            <w:tcMar>
              <w:top w:type="dxa" w:w="60"/>
              <w:left w:type="dxa" w:w="90"/>
              <w:bottom w:type="dxa" w:w="60"/>
              <w:right w:type="dxa" w:w="90"/>
            </w:tcMar>
          </w:tcPr>
          <w:p>
            <w:pPr>
              <w:spacing w:after="40"/>
            </w:pPr>
            <w:r>
              <w:rPr>
                <w:sz w:val="18"/>
                <w:szCs w:val="18"/>
              </w:rPr>
              <w:t xml:space="preserve">Re-run on the current panel.</w:t>
            </w:r>
          </w:p>
        </w:tc>
      </w:tr>
      <w:tr>
        <w:trPr>
          <w:cantSplit w:val="off"/>
        </w:trPr>
        <w:tc>
          <w:tcPr>
            <w:tcW w:type="dxa" w:w="729"/>
            <w:tcMar>
              <w:top w:type="dxa" w:w="60"/>
              <w:left w:type="dxa" w:w="90"/>
              <w:bottom w:type="dxa" w:w="60"/>
              <w:right w:type="dxa" w:w="90"/>
            </w:tcMar>
          </w:tcPr>
          <w:p>
            <w:pPr>
              <w:spacing w:after="40"/>
            </w:pPr>
            <w:r>
              <w:rPr>
                <w:sz w:val="18"/>
                <w:szCs w:val="18"/>
              </w:rPr>
              <w:t xml:space="preserve">4.15</w:t>
            </w:r>
          </w:p>
        </w:tc>
        <w:tc>
          <w:tcPr>
            <w:tcW w:type="dxa" w:w="3934"/>
            <w:tcMar>
              <w:top w:type="dxa" w:w="60"/>
              <w:left w:type="dxa" w:w="90"/>
              <w:bottom w:type="dxa" w:w="60"/>
              <w:right w:type="dxa" w:w="90"/>
            </w:tcMar>
          </w:tcPr>
          <w:p>
            <w:pPr>
              <w:spacing w:after="40"/>
            </w:pPr>
            <w:r>
              <w:rPr>
                <w:sz w:val="18"/>
                <w:szCs w:val="18"/>
              </w:rPr>
              <w:t xml:space="preserve">The call behaviour (p. 43) and the time-to-call slope (p. 47) are treated as side notes.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They are your best evidence on rational pricing and on what drives the AT1 premium.</w:t>
            </w:r>
          </w:p>
        </w:tc>
        <w:tc>
          <w:tcPr>
            <w:tcW w:type="dxa" w:w="4079"/>
            <w:tcMar>
              <w:top w:type="dxa" w:w="60"/>
              <w:left w:type="dxa" w:w="90"/>
              <w:bottom w:type="dxa" w:w="60"/>
              <w:right w:type="dxa" w:w="90"/>
            </w:tcMar>
          </w:tcPr>
          <w:p>
            <w:pPr>
              <w:spacing w:after="40"/>
            </w:pPr>
            <w:r>
              <w:rPr>
                <w:sz w:val="18"/>
                <w:szCs w:val="18"/>
              </w:rPr>
              <w:t xml:space="preserve">Move them to the determinants chapter, and use them in §5.6.</w:t>
            </w:r>
          </w:p>
        </w:tc>
      </w:tr>
      <w:tr>
        <w:trPr>
          <w:cantSplit w:val="off"/>
        </w:trPr>
        <w:tc>
          <w:tcPr>
            <w:tcW w:type="dxa" w:w="729"/>
            <w:tcMar>
              <w:top w:type="dxa" w:w="60"/>
              <w:left w:type="dxa" w:w="90"/>
              <w:bottom w:type="dxa" w:w="60"/>
              <w:right w:type="dxa" w:w="90"/>
            </w:tcMar>
          </w:tcPr>
          <w:p>
            <w:pPr>
              <w:spacing w:after="40"/>
            </w:pPr>
            <w:r>
              <w:rPr>
                <w:sz w:val="18"/>
                <w:szCs w:val="18"/>
              </w:rPr>
              <w:t xml:space="preserve">4.16</w:t>
            </w:r>
          </w:p>
        </w:tc>
        <w:tc>
          <w:tcPr>
            <w:tcW w:type="dxa" w:w="3934"/>
            <w:tcMar>
              <w:top w:type="dxa" w:w="60"/>
              <w:left w:type="dxa" w:w="90"/>
              <w:bottom w:type="dxa" w:w="60"/>
              <w:right w:type="dxa" w:w="90"/>
            </w:tcMar>
          </w:tcPr>
          <w:p>
            <w:pPr>
              <w:spacing w:after="40"/>
            </w:pPr>
            <w:r>
              <w:rPr>
                <w:sz w:val="18"/>
                <w:szCs w:val="18"/>
              </w:rPr>
              <w:t xml:space="preserve">There is no test around the March 2023 AT1 write-down, although it is mentioned (pp. 3, 78).</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is a natural test of whether AT1 risk is priced (Bolton, Jiang &amp; Kartasheva, 2023).</w:t>
            </w:r>
          </w:p>
        </w:tc>
        <w:tc>
          <w:tcPr>
            <w:tcW w:type="dxa" w:w="4079"/>
            <w:tcMar>
              <w:top w:type="dxa" w:w="60"/>
              <w:left w:type="dxa" w:w="90"/>
              <w:bottom w:type="dxa" w:w="60"/>
              <w:right w:type="dxa" w:w="90"/>
            </w:tcMar>
          </w:tcPr>
          <w:p>
            <w:pPr>
              <w:spacing w:after="40"/>
            </w:pPr>
            <w:r>
              <w:rPr>
                <w:sz w:val="18"/>
                <w:szCs w:val="18"/>
              </w:rPr>
              <w:t xml:space="preserve">Compare AT1 differences before and after March 2023.</w:t>
            </w:r>
          </w:p>
        </w:tc>
      </w:tr>
      <w:tr>
        <w:trPr>
          <w:cantSplit w:val="off"/>
        </w:trPr>
        <w:tc>
          <w:tcPr>
            <w:tcW w:type="dxa" w:w="729"/>
            <w:tcMar>
              <w:top w:type="dxa" w:w="60"/>
              <w:left w:type="dxa" w:w="90"/>
              <w:bottom w:type="dxa" w:w="60"/>
              <w:right w:type="dxa" w:w="90"/>
            </w:tcMar>
          </w:tcPr>
          <w:p>
            <w:pPr>
              <w:spacing w:after="40"/>
            </w:pPr>
            <w:r>
              <w:rPr>
                <w:sz w:val="18"/>
                <w:szCs w:val="18"/>
              </w:rPr>
              <w:t xml:space="preserve">4.17</w:t>
            </w:r>
          </w:p>
        </w:tc>
        <w:tc>
          <w:tcPr>
            <w:tcW w:type="dxa" w:w="3934"/>
            <w:tcMar>
              <w:top w:type="dxa" w:w="60"/>
              <w:left w:type="dxa" w:w="90"/>
              <w:bottom w:type="dxa" w:w="60"/>
              <w:right w:type="dxa" w:w="90"/>
            </w:tcMar>
          </w:tcPr>
          <w:p>
            <w:pPr>
              <w:spacing w:after="40"/>
            </w:pPr>
            <w:r>
              <w:rPr>
                <w:sz w:val="18"/>
                <w:szCs w:val="18"/>
              </w:rPr>
              <w:t xml:space="preserve">Wrong table references on p. 51 (should be Table 4.1) and p. 59 (should be Table 4.18).</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Wrong references.</w:t>
            </w:r>
          </w:p>
        </w:tc>
        <w:tc>
          <w:tcPr>
            <w:tcW w:type="dxa" w:w="4079"/>
            <w:tcMar>
              <w:top w:type="dxa" w:w="60"/>
              <w:left w:type="dxa" w:w="90"/>
              <w:bottom w:type="dxa" w:w="60"/>
              <w:right w:type="dxa" w:w="90"/>
            </w:tcMar>
          </w:tcPr>
          <w:p>
            <w:pPr>
              <w:spacing w:after="40"/>
            </w:pPr>
            <w:r>
              <w:rPr>
                <w:sz w:val="18"/>
                <w:szCs w:val="18"/>
              </w:rPr>
              <w:t xml:space="preserve">Correct them.</w:t>
            </w:r>
          </w:p>
        </w:tc>
      </w:tr>
      <w:tr>
        <w:trPr>
          <w:cantSplit w:val="off"/>
        </w:trPr>
        <w:tc>
          <w:tcPr>
            <w:tcW w:type="dxa" w:w="729"/>
            <w:tcMar>
              <w:top w:type="dxa" w:w="60"/>
              <w:left w:type="dxa" w:w="90"/>
              <w:bottom w:type="dxa" w:w="60"/>
              <w:right w:type="dxa" w:w="90"/>
            </w:tcMar>
          </w:tcPr>
          <w:p>
            <w:pPr>
              <w:spacing w:after="40"/>
            </w:pPr>
            <w:r>
              <w:rPr>
                <w:sz w:val="18"/>
                <w:szCs w:val="18"/>
              </w:rPr>
              <w:t xml:space="preserve">4.18</w:t>
            </w:r>
          </w:p>
        </w:tc>
        <w:tc>
          <w:tcPr>
            <w:tcW w:type="dxa" w:w="3934"/>
            <w:tcMar>
              <w:top w:type="dxa" w:w="60"/>
              <w:left w:type="dxa" w:w="90"/>
              <w:bottom w:type="dxa" w:w="60"/>
              <w:right w:type="dxa" w:w="90"/>
            </w:tcMar>
          </w:tcPr>
          <w:p>
            <w:pPr>
              <w:spacing w:after="40"/>
            </w:pPr>
            <w:r>
              <w:rPr>
                <w:sz w:val="18"/>
                <w:szCs w:val="18"/>
              </w:rPr>
              <w:t xml:space="preserve">The sign-flip p-values differ between Tables 4.10, 4.11 and 4.15 (pp. 54–63) and Table 4.18 (p. 71).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 See MI-6.</w:t>
            </w:r>
          </w:p>
        </w:tc>
        <w:tc>
          <w:tcPr>
            <w:tcW w:type="dxa" w:w="4079"/>
            <w:tcMar>
              <w:top w:type="dxa" w:w="60"/>
              <w:left w:type="dxa" w:w="90"/>
              <w:bottom w:type="dxa" w:w="60"/>
              <w:right w:type="dxa" w:w="90"/>
            </w:tcMar>
          </w:tcPr>
          <w:p>
            <w:pPr>
              <w:spacing w:after="40"/>
            </w:pPr>
            <w:r>
              <w:rPr>
                <w:sz w:val="18"/>
                <w:szCs w:val="18"/>
              </w:rPr>
              <w:t xml:space="preserve">Regenerate the numbers from one run.</w:t>
            </w:r>
          </w:p>
        </w:tc>
      </w:tr>
      <w:tr>
        <w:trPr>
          <w:cantSplit w:val="off"/>
        </w:trPr>
        <w:tc>
          <w:tcPr>
            <w:tcW w:type="dxa" w:w="729"/>
            <w:tcMar>
              <w:top w:type="dxa" w:w="60"/>
              <w:left w:type="dxa" w:w="90"/>
              <w:bottom w:type="dxa" w:w="60"/>
              <w:right w:type="dxa" w:w="90"/>
            </w:tcMar>
          </w:tcPr>
          <w:p>
            <w:pPr>
              <w:spacing w:after="40"/>
            </w:pPr>
            <w:r>
              <w:rPr>
                <w:sz w:val="18"/>
                <w:szCs w:val="18"/>
              </w:rPr>
              <w:t xml:space="preserve">4.19</w:t>
            </w:r>
          </w:p>
        </w:tc>
        <w:tc>
          <w:tcPr>
            <w:tcW w:type="dxa" w:w="3934"/>
            <w:tcMar>
              <w:top w:type="dxa" w:w="60"/>
              <w:left w:type="dxa" w:w="90"/>
              <w:bottom w:type="dxa" w:w="60"/>
              <w:right w:type="dxa" w:w="90"/>
            </w:tcMar>
          </w:tcPr>
          <w:p>
            <w:pPr>
              <w:spacing w:after="40"/>
            </w:pPr>
            <w:r>
              <w:rPr>
                <w:sz w:val="18"/>
                <w:szCs w:val="18"/>
              </w:rPr>
              <w:t xml:space="preserve">Too many decimals, e.g. “18.495 bp” (p. 68) and “0.401941” (p. 59).</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suggests more precision than the data have.</w:t>
            </w:r>
          </w:p>
        </w:tc>
        <w:tc>
          <w:tcPr>
            <w:tcW w:type="dxa" w:w="4079"/>
            <w:tcMar>
              <w:top w:type="dxa" w:w="60"/>
              <w:left w:type="dxa" w:w="90"/>
              <w:bottom w:type="dxa" w:w="60"/>
              <w:right w:type="dxa" w:w="90"/>
            </w:tcMar>
          </w:tcPr>
          <w:p>
            <w:pPr>
              <w:spacing w:after="40"/>
            </w:pPr>
            <w:r>
              <w:rPr>
                <w:sz w:val="18"/>
                <w:szCs w:val="18"/>
              </w:rPr>
              <w:t xml:space="preserve">Use one decimal for bp.</w:t>
            </w:r>
          </w:p>
        </w:tc>
      </w:tr>
      <w:tr>
        <w:trPr>
          <w:cantSplit w:val="off"/>
        </w:trPr>
        <w:tc>
          <w:tcPr>
            <w:tcW w:type="dxa" w:w="729"/>
            <w:tcMar>
              <w:top w:type="dxa" w:w="60"/>
              <w:left w:type="dxa" w:w="90"/>
              <w:bottom w:type="dxa" w:w="60"/>
              <w:right w:type="dxa" w:w="90"/>
            </w:tcMar>
          </w:tcPr>
          <w:p>
            <w:pPr>
              <w:spacing w:after="40"/>
            </w:pPr>
            <w:r>
              <w:rPr>
                <w:sz w:val="18"/>
                <w:szCs w:val="18"/>
              </w:rPr>
              <w:t xml:space="preserve">4.20</w:t>
            </w:r>
          </w:p>
        </w:tc>
        <w:tc>
          <w:tcPr>
            <w:tcW w:type="dxa" w:w="3934"/>
            <w:tcMar>
              <w:top w:type="dxa" w:w="60"/>
              <w:left w:type="dxa" w:w="90"/>
              <w:bottom w:type="dxa" w:w="60"/>
              <w:right w:type="dxa" w:w="90"/>
            </w:tcMar>
          </w:tcPr>
          <w:p>
            <w:pPr>
              <w:spacing w:after="40"/>
            </w:pPr>
            <w:r>
              <w:rPr>
                <w:sz w:val="18"/>
                <w:szCs w:val="18"/>
              </w:rPr>
              <w:t xml:space="preserve">The Rosenbaum sensitivity result (Γ = 1.37) first appears in Chapter 5 (p. 79).</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New results should not first appear in the discussion.</w:t>
            </w:r>
          </w:p>
        </w:tc>
        <w:tc>
          <w:tcPr>
            <w:tcW w:type="dxa" w:w="4079"/>
            <w:tcMar>
              <w:top w:type="dxa" w:w="60"/>
              <w:left w:type="dxa" w:w="90"/>
              <w:bottom w:type="dxa" w:w="60"/>
              <w:right w:type="dxa" w:w="90"/>
            </w:tcMar>
          </w:tcPr>
          <w:p>
            <w:pPr>
              <w:spacing w:after="40"/>
            </w:pPr>
            <w:r>
              <w:rPr>
                <w:sz w:val="18"/>
                <w:szCs w:val="18"/>
              </w:rPr>
              <w:t xml:space="preserve">Report it in Chapter 4.</w:t>
            </w:r>
          </w:p>
        </w:tc>
      </w:tr>
      <w:tr>
        <w:trPr>
          <w:cantSplit w:val="off"/>
        </w:trPr>
        <w:tc>
          <w:tcPr>
            <w:tcW w:type="dxa" w:w="729"/>
            <w:tcMar>
              <w:top w:type="dxa" w:w="60"/>
              <w:left w:type="dxa" w:w="90"/>
              <w:bottom w:type="dxa" w:w="60"/>
              <w:right w:type="dxa" w:w="90"/>
            </w:tcMar>
          </w:tcPr>
          <w:p>
            <w:pPr>
              <w:spacing w:after="40"/>
            </w:pPr>
            <w:r>
              <w:rPr>
                <w:sz w:val="18"/>
                <w:szCs w:val="18"/>
              </w:rPr>
              <w:t xml:space="preserve">4.21</w:t>
            </w:r>
          </w:p>
        </w:tc>
        <w:tc>
          <w:tcPr>
            <w:tcW w:type="dxa" w:w="3934"/>
            <w:tcMar>
              <w:top w:type="dxa" w:w="60"/>
              <w:left w:type="dxa" w:w="90"/>
              <w:bottom w:type="dxa" w:w="60"/>
              <w:right w:type="dxa" w:w="90"/>
            </w:tcMar>
          </w:tcPr>
          <w:p>
            <w:pPr>
              <w:spacing w:after="40"/>
            </w:pPr>
            <w:r>
              <w:rPr>
                <w:sz w:val="18"/>
                <w:szCs w:val="18"/>
              </w:rPr>
              <w:t xml:space="preserve">The AT1 window sample is 23 pairs in §4.2 (p. 30) but 21 in Table 4.1 (p. 35) and §4.4 (p. 33).</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 sample size.</w:t>
            </w:r>
          </w:p>
        </w:tc>
        <w:tc>
          <w:tcPr>
            <w:tcW w:type="dxa" w:w="4079"/>
            <w:tcMar>
              <w:top w:type="dxa" w:w="60"/>
              <w:left w:type="dxa" w:w="90"/>
              <w:bottom w:type="dxa" w:w="60"/>
              <w:right w:type="dxa" w:w="90"/>
            </w:tcMar>
          </w:tcPr>
          <w:p>
            <w:pPr>
              <w:spacing w:after="40"/>
            </w:pPr>
            <w:r>
              <w:rPr>
                <w:sz w:val="18"/>
                <w:szCs w:val="18"/>
              </w:rPr>
              <w:t xml:space="preserve">Reconcile.</w:t>
            </w:r>
          </w:p>
        </w:tc>
      </w:tr>
    </w:tbl>
    <w:p>
      <w:pPr>
        <w:spacing w:after="60" w:before="120"/>
        <w:jc w:val="center"/>
      </w:pPr>
      <w:r>
        <w:drawing>
          <wp:inline distT="0" distB="0" distL="0" distR="0">
            <wp:extent cx="4191000" cy="25146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514600"/>
                    </a:xfrm>
                    <a:prstGeom prst="rect">
                      <a:avLst/>
                    </a:prstGeom>
                  </pic:spPr>
                </pic:pic>
              </a:graphicData>
            </a:graphic>
          </wp:inline>
        </w:drawing>
      </w:r>
    </w:p>
    <w:p>
      <w:pPr>
        <w:spacing w:after="200" w:before="60" w:line="252"/>
      </w:pPr>
      <w:r>
        <w:rPr>
          <w:b/>
          <w:bCs/>
          <w:color w:val="404040"/>
          <w:sz w:val="18"/>
          <w:szCs w:val="18"/>
        </w:rPr>
        <w:t xml:space="preserve">Figure 2.</w:t>
      </w:r>
      <w:r>
        <w:rPr>
          <w:color w:val="404040"/>
          <w:sz w:val="18"/>
          <w:szCs w:val="18"/>
        </w:rPr>
        <w:t xml:space="preserve"> p-values from four tests for AT1 (full horizon) and green sukuk (pre-specified window), 25 pairs each. Source: your Table 4.1 (p. 35). All four tests support AT1. For green sukuk, only the tests that use the size of the gaps are significant.</w:t>
      </w:r>
    </w:p>
    <w:p>
      <w:pPr>
        <w:pStyle w:val="Heading2"/>
      </w:pPr>
      <w:r>
        <w:t xml:space="preserve">Chapter 5: Discussion and conclusion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5.1</w:t>
            </w:r>
          </w:p>
        </w:tc>
        <w:tc>
          <w:tcPr>
            <w:tcW w:type="dxa" w:w="3934"/>
            <w:tcMar>
              <w:top w:type="dxa" w:w="60"/>
              <w:left w:type="dxa" w:w="90"/>
              <w:bottom w:type="dxa" w:w="60"/>
              <w:right w:type="dxa" w:w="90"/>
            </w:tcMar>
          </w:tcPr>
          <w:p>
            <w:pPr>
              <w:spacing w:after="40"/>
            </w:pPr>
            <w:r>
              <w:rPr>
                <w:sz w:val="18"/>
                <w:szCs w:val="18"/>
              </w:rPr>
              <w:t xml:space="preserve">§5.1 frames the “puzzle” using the old results (p. 73).</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final results change the picture, especially for AT1.</w:t>
            </w:r>
          </w:p>
        </w:tc>
        <w:tc>
          <w:tcPr>
            <w:tcW w:type="dxa" w:w="4079"/>
            <w:tcMar>
              <w:top w:type="dxa" w:w="60"/>
              <w:left w:type="dxa" w:w="90"/>
              <w:bottom w:type="dxa" w:w="60"/>
              <w:right w:type="dxa" w:w="90"/>
            </w:tcMar>
          </w:tcPr>
          <w:p>
            <w:pPr>
              <w:spacing w:after="40"/>
            </w:pPr>
            <w:r>
              <w:rPr>
                <w:sz w:val="18"/>
                <w:szCs w:val="18"/>
              </w:rPr>
              <w:t xml:space="preserve">Reframe around the final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5.2</w:t>
            </w:r>
          </w:p>
        </w:tc>
        <w:tc>
          <w:tcPr>
            <w:tcW w:type="dxa" w:w="3934"/>
            <w:tcMar>
              <w:top w:type="dxa" w:w="60"/>
              <w:left w:type="dxa" w:w="90"/>
              <w:bottom w:type="dxa" w:w="60"/>
              <w:right w:type="dxa" w:w="90"/>
            </w:tcMar>
          </w:tcPr>
          <w:p>
            <w:pPr>
              <w:spacing w:after="40"/>
            </w:pPr>
            <w:r>
              <w:rPr>
                <w:sz w:val="18"/>
                <w:szCs w:val="18"/>
              </w:rPr>
              <w:t xml:space="preserve">§5.2 mixes the final 17-pair callable results (p. 73) with the old 15-pair results (p. 74). The detectable-effect figures (94 and 58 bp, p. 76) do not match Table 4.1 (91.1).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reader cannot tell which result is being discussed.</w:t>
            </w:r>
          </w:p>
        </w:tc>
        <w:tc>
          <w:tcPr>
            <w:tcW w:type="dxa" w:w="4079"/>
            <w:tcMar>
              <w:top w:type="dxa" w:w="60"/>
              <w:left w:type="dxa" w:w="90"/>
              <w:bottom w:type="dxa" w:w="60"/>
              <w:right w:type="dxa" w:w="90"/>
            </w:tcMar>
          </w:tcPr>
          <w:p>
            <w:pPr>
              <w:spacing w:after="40"/>
            </w:pPr>
            <w:r>
              <w:rPr>
                <w:sz w:val="18"/>
                <w:szCs w:val="18"/>
              </w:rPr>
              <w:t xml:space="preserve">Discuss the final results only.</w:t>
            </w:r>
          </w:p>
        </w:tc>
      </w:tr>
      <w:tr>
        <w:trPr>
          <w:cantSplit w:val="off"/>
        </w:trPr>
        <w:tc>
          <w:tcPr>
            <w:tcW w:type="dxa" w:w="729"/>
            <w:tcMar>
              <w:top w:type="dxa" w:w="60"/>
              <w:left w:type="dxa" w:w="90"/>
              <w:bottom w:type="dxa" w:w="60"/>
              <w:right w:type="dxa" w:w="90"/>
            </w:tcMar>
          </w:tcPr>
          <w:p>
            <w:pPr>
              <w:spacing w:after="40"/>
            </w:pPr>
            <w:r>
              <w:rPr>
                <w:sz w:val="18"/>
                <w:szCs w:val="18"/>
              </w:rPr>
              <w:t xml:space="preserve">5.3</w:t>
            </w:r>
          </w:p>
        </w:tc>
        <w:tc>
          <w:tcPr>
            <w:tcW w:type="dxa" w:w="3934"/>
            <w:tcMar>
              <w:top w:type="dxa" w:w="60"/>
              <w:left w:type="dxa" w:w="90"/>
              <w:bottom w:type="dxa" w:w="60"/>
              <w:right w:type="dxa" w:w="90"/>
            </w:tcMar>
          </w:tcPr>
          <w:p>
            <w:pPr>
              <w:spacing w:after="40"/>
            </w:pPr>
            <w:r>
              <w:rPr>
                <w:sz w:val="18"/>
                <w:szCs w:val="18"/>
              </w:rPr>
              <w:t xml:space="preserve">The callable discussion (pp. 74–75) lists studies but does not explain why your result differs from theirs.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Becker et al. (2024) find callable bonds yield more than the same issuer’s non-callable bonds. Samet &amp; Obay (2014) also find a positive call spread.</w:t>
            </w:r>
          </w:p>
        </w:tc>
        <w:tc>
          <w:tcPr>
            <w:tcW w:type="dxa" w:w="4079"/>
            <w:tcMar>
              <w:top w:type="dxa" w:w="60"/>
              <w:left w:type="dxa" w:w="90"/>
              <w:bottom w:type="dxa" w:w="60"/>
              <w:right w:type="dxa" w:w="90"/>
            </w:tcMar>
          </w:tcPr>
          <w:p>
            <w:pPr>
              <w:spacing w:after="40"/>
            </w:pPr>
            <w:r>
              <w:rPr>
                <w:sz w:val="18"/>
                <w:szCs w:val="18"/>
              </w:rPr>
              <w:t xml:space="preserve">Explain why yours differs: comparing across issuers adds noise; short calls are worth little; and the yield measure matters. Test with same-issuer pairs where possible.</w:t>
            </w:r>
          </w:p>
        </w:tc>
      </w:tr>
      <w:tr>
        <w:trPr>
          <w:cantSplit w:val="off"/>
        </w:trPr>
        <w:tc>
          <w:tcPr>
            <w:tcW w:type="dxa" w:w="729"/>
            <w:tcMar>
              <w:top w:type="dxa" w:w="60"/>
              <w:left w:type="dxa" w:w="90"/>
              <w:bottom w:type="dxa" w:w="60"/>
              <w:right w:type="dxa" w:w="90"/>
            </w:tcMar>
          </w:tcPr>
          <w:p>
            <w:pPr>
              <w:spacing w:after="40"/>
            </w:pPr>
            <w:r>
              <w:rPr>
                <w:sz w:val="18"/>
                <w:szCs w:val="18"/>
              </w:rPr>
              <w:t xml:space="preserve">5.4</w:t>
            </w:r>
          </w:p>
        </w:tc>
        <w:tc>
          <w:tcPr>
            <w:tcW w:type="dxa" w:w="3934"/>
            <w:tcMar>
              <w:top w:type="dxa" w:w="60"/>
              <w:left w:type="dxa" w:w="90"/>
              <w:bottom w:type="dxa" w:w="60"/>
              <w:right w:type="dxa" w:w="90"/>
            </w:tcMar>
          </w:tcPr>
          <w:p>
            <w:pPr>
              <w:spacing w:after="40"/>
            </w:pPr>
            <w:r>
              <w:rPr>
                <w:sz w:val="18"/>
                <w:szCs w:val="18"/>
              </w:rPr>
              <w:t xml:space="preserve">The AT1 discussion (pp. 76–80) explains the regulation well but does not compare the size of your estimate with other studies.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Oster (2020) finds an 84 bp call premium for unrated Tier 2 CoCos. Kind, Oster &amp; Peter (2022) show that regulation and design drive AT1 spreads. Salhani &amp; Mouselli (2022) find Tier 1 sukuk cheaper for UAE banks than equity. Nasr &amp; Hasan (2024) discuss Shari’ah issues with deferred Tier 1 sukuk payments.</w:t>
            </w:r>
          </w:p>
        </w:tc>
        <w:tc>
          <w:tcPr>
            <w:tcW w:type="dxa" w:w="4079"/>
            <w:tcMar>
              <w:top w:type="dxa" w:w="60"/>
              <w:left w:type="dxa" w:w="90"/>
              <w:bottom w:type="dxa" w:w="60"/>
              <w:right w:type="dxa" w:w="90"/>
            </w:tcMar>
          </w:tcPr>
          <w:p>
            <w:pPr>
              <w:spacing w:after="40"/>
            </w:pPr>
            <w:r>
              <w:rPr>
                <w:sz w:val="18"/>
                <w:szCs w:val="18"/>
              </w:rPr>
              <w:t xml:space="preserve">Compare your ~100 bp with these results, discuss the sukuk-specific features, and explain the +27 vs +240 bp gap (MI-4).</w:t>
            </w:r>
          </w:p>
        </w:tc>
      </w:tr>
      <w:tr>
        <w:trPr>
          <w:cantSplit w:val="off"/>
        </w:trPr>
        <w:tc>
          <w:tcPr>
            <w:tcW w:type="dxa" w:w="729"/>
            <w:tcMar>
              <w:top w:type="dxa" w:w="60"/>
              <w:left w:type="dxa" w:w="90"/>
              <w:bottom w:type="dxa" w:w="60"/>
              <w:right w:type="dxa" w:w="90"/>
            </w:tcMar>
          </w:tcPr>
          <w:p>
            <w:pPr>
              <w:spacing w:after="40"/>
            </w:pPr>
            <w:r>
              <w:rPr>
                <w:sz w:val="18"/>
                <w:szCs w:val="18"/>
              </w:rPr>
              <w:t xml:space="preserve">5.5</w:t>
            </w:r>
          </w:p>
        </w:tc>
        <w:tc>
          <w:tcPr>
            <w:tcW w:type="dxa" w:w="3934"/>
            <w:tcMar>
              <w:top w:type="dxa" w:w="60"/>
              <w:left w:type="dxa" w:w="90"/>
              <w:bottom w:type="dxa" w:w="60"/>
              <w:right w:type="dxa" w:w="90"/>
            </w:tcMar>
          </w:tcPr>
          <w:p>
            <w:pPr>
              <w:spacing w:after="40"/>
            </w:pPr>
            <w:r>
              <w:rPr>
                <w:sz w:val="18"/>
                <w:szCs w:val="18"/>
              </w:rPr>
              <w:t xml:space="preserve">“The evidence rules out … credit mismatch” (p. 80).</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An overclaim. Six pairs have no rating (p. 34), and significance disappears in every credit-matched subset.</w:t>
            </w:r>
          </w:p>
        </w:tc>
        <w:tc>
          <w:tcPr>
            <w:tcW w:type="dxa" w:w="4079"/>
            <w:tcMar>
              <w:top w:type="dxa" w:w="60"/>
              <w:left w:type="dxa" w:w="90"/>
              <w:bottom w:type="dxa" w:w="60"/>
              <w:right w:type="dxa" w:w="90"/>
            </w:tcMar>
          </w:tcPr>
          <w:p>
            <w:pPr>
              <w:spacing w:after="40"/>
            </w:pPr>
            <w:r>
              <w:rPr>
                <w:sz w:val="18"/>
                <w:szCs w:val="18"/>
              </w:rPr>
              <w:t xml:space="preserve">Soften the wording.</w:t>
            </w:r>
          </w:p>
        </w:tc>
      </w:tr>
      <w:tr>
        <w:trPr>
          <w:cantSplit w:val="off"/>
        </w:trPr>
        <w:tc>
          <w:tcPr>
            <w:tcW w:type="dxa" w:w="729"/>
            <w:tcMar>
              <w:top w:type="dxa" w:w="60"/>
              <w:left w:type="dxa" w:w="90"/>
              <w:bottom w:type="dxa" w:w="60"/>
              <w:right w:type="dxa" w:w="90"/>
            </w:tcMar>
          </w:tcPr>
          <w:p>
            <w:pPr>
              <w:spacing w:after="40"/>
            </w:pPr>
            <w:r>
              <w:rPr>
                <w:sz w:val="18"/>
                <w:szCs w:val="18"/>
              </w:rPr>
              <w:t xml:space="preserve">5.6</w:t>
            </w:r>
          </w:p>
        </w:tc>
        <w:tc>
          <w:tcPr>
            <w:tcW w:type="dxa" w:w="3934"/>
            <w:tcMar>
              <w:top w:type="dxa" w:w="60"/>
              <w:left w:type="dxa" w:w="90"/>
              <w:bottom w:type="dxa" w:w="60"/>
              <w:right w:type="dxa" w:w="90"/>
            </w:tcMar>
          </w:tcPr>
          <w:p>
            <w:pPr>
              <w:spacing w:after="40"/>
            </w:pPr>
            <w:r>
              <w:rPr>
                <w:sz w:val="18"/>
                <w:szCs w:val="18"/>
              </w:rPr>
              <w:t xml:space="preserve">Baker et al. (2022) are cited as finding that the premium “disappears” when an issuer sells green and ordinary bonds at the same time (p. 81).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Their abstract adds that “a premium emerges over time on the secondary market”. That is the part most relevant to you.</w:t>
            </w:r>
          </w:p>
        </w:tc>
        <w:tc>
          <w:tcPr>
            <w:tcW w:type="dxa" w:w="4079"/>
            <w:tcMar>
              <w:top w:type="dxa" w:w="60"/>
              <w:left w:type="dxa" w:w="90"/>
              <w:bottom w:type="dxa" w:w="60"/>
              <w:right w:type="dxa" w:w="90"/>
            </w:tcMar>
          </w:tcPr>
          <w:p>
            <w:pPr>
              <w:spacing w:after="40"/>
            </w:pPr>
            <w:r>
              <w:rPr>
                <w:sz w:val="18"/>
                <w:szCs w:val="18"/>
              </w:rPr>
              <w:t xml:space="preserve">Cite the full finding. It supports your within-issuer result.</w:t>
            </w:r>
          </w:p>
        </w:tc>
      </w:tr>
      <w:tr>
        <w:trPr>
          <w:cantSplit w:val="off"/>
        </w:trPr>
        <w:tc>
          <w:tcPr>
            <w:tcW w:type="dxa" w:w="729"/>
            <w:tcMar>
              <w:top w:type="dxa" w:w="60"/>
              <w:left w:type="dxa" w:w="90"/>
              <w:bottom w:type="dxa" w:w="60"/>
              <w:right w:type="dxa" w:w="90"/>
            </w:tcMar>
          </w:tcPr>
          <w:p>
            <w:pPr>
              <w:spacing w:after="40"/>
            </w:pPr>
            <w:r>
              <w:rPr>
                <w:sz w:val="18"/>
                <w:szCs w:val="18"/>
              </w:rPr>
              <w:t xml:space="preserve">5.7</w:t>
            </w:r>
          </w:p>
        </w:tc>
        <w:tc>
          <w:tcPr>
            <w:tcW w:type="dxa" w:w="3934"/>
            <w:tcMar>
              <w:top w:type="dxa" w:w="60"/>
              <w:left w:type="dxa" w:w="90"/>
              <w:bottom w:type="dxa" w:w="60"/>
              <w:right w:type="dxa" w:w="90"/>
            </w:tcMar>
          </w:tcPr>
          <w:p>
            <w:pPr>
              <w:spacing w:after="40"/>
            </w:pPr>
            <w:r>
              <w:rPr>
                <w:sz w:val="18"/>
                <w:szCs w:val="18"/>
              </w:rPr>
              <w:t xml:space="preserve">Out-of-date text: “seventeen-pair” (p. 82), “the null obtained here” (p. 83), “the benchmark tiers” (p. 84), “consistently … negative” (p. 87).</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contradicts the final results.</w:t>
            </w:r>
          </w:p>
        </w:tc>
        <w:tc>
          <w:tcPr>
            <w:tcW w:type="dxa" w:w="4079"/>
            <w:tcMar>
              <w:top w:type="dxa" w:w="60"/>
              <w:left w:type="dxa" w:w="90"/>
              <w:bottom w:type="dxa" w:w="60"/>
              <w:right w:type="dxa" w:w="90"/>
            </w:tcMar>
          </w:tcPr>
          <w:p>
            <w:pPr>
              <w:spacing w:after="40"/>
            </w:pPr>
            <w:r>
              <w:rPr>
                <w:sz w:val="18"/>
                <w:szCs w:val="18"/>
              </w:rPr>
              <w:t xml:space="preserve">Rewrite §5.4 and §5.6 using the final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5.8</w:t>
            </w:r>
          </w:p>
        </w:tc>
        <w:tc>
          <w:tcPr>
            <w:tcW w:type="dxa" w:w="3934"/>
            <w:tcMar>
              <w:top w:type="dxa" w:w="60"/>
              <w:left w:type="dxa" w:w="90"/>
              <w:bottom w:type="dxa" w:w="60"/>
              <w:right w:type="dxa" w:w="90"/>
            </w:tcMar>
          </w:tcPr>
          <w:p>
            <w:pPr>
              <w:spacing w:after="40"/>
            </w:pPr>
            <w:r>
              <w:rPr>
                <w:sz w:val="18"/>
                <w:szCs w:val="18"/>
              </w:rPr>
              <w:t xml:space="preserve">The green-label discussion (pp. 80–85) treats the sample mix and the Indonesian concentration only as problems.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literature expects them. Löffler, Petreski &amp; Stephan (2021) find a 15–20 bp greenium, close to your −16 bp. Bachelet et al. (2019) find no greenium for unverified private issuers, which fits your 2025 BB-rated developers. Fatica, Panzica &amp; Rancan (2021) and Dorfleitner, Utz &amp; Zhang (2021) link the greenium to issuer type and external review. Latif, Husodo &amp; Hendranastiti (2026, SSRN, not yet peer-reviewed) find large greeniums for Indonesian issues.</w:t>
            </w:r>
          </w:p>
        </w:tc>
        <w:tc>
          <w:tcPr>
            <w:tcW w:type="dxa" w:w="4079"/>
            <w:tcMar>
              <w:top w:type="dxa" w:w="60"/>
              <w:left w:type="dxa" w:w="90"/>
              <w:bottom w:type="dxa" w:w="60"/>
              <w:right w:type="dxa" w:w="90"/>
            </w:tcMar>
          </w:tcPr>
          <w:p>
            <w:pPr>
              <w:spacing w:after="40"/>
            </w:pPr>
            <w:r>
              <w:rPr>
                <w:sz w:val="18"/>
                <w:szCs w:val="18"/>
              </w:rPr>
              <w:t xml:space="preserve">Present it as evidence on </w:t>
            </w:r>
            <w:r>
              <w:rPr>
                <w:i/>
                <w:iCs/>
                <w:sz w:val="18"/>
                <w:szCs w:val="18"/>
              </w:rPr>
              <w:t xml:space="preserve">who</w:t>
            </w:r>
            <w:r>
              <w:rPr>
                <w:sz w:val="18"/>
                <w:szCs w:val="18"/>
              </w:rPr>
              <w:t xml:space="preserve"> gets a greenium: established sovereign programmes and verified issuers.</w:t>
            </w:r>
          </w:p>
        </w:tc>
      </w:tr>
      <w:tr>
        <w:trPr>
          <w:cantSplit w:val="off"/>
        </w:trPr>
        <w:tc>
          <w:tcPr>
            <w:tcW w:type="dxa" w:w="729"/>
            <w:tcMar>
              <w:top w:type="dxa" w:w="60"/>
              <w:left w:type="dxa" w:w="90"/>
              <w:bottom w:type="dxa" w:w="60"/>
              <w:right w:type="dxa" w:w="90"/>
            </w:tcMar>
          </w:tcPr>
          <w:p>
            <w:pPr>
              <w:spacing w:after="40"/>
            </w:pPr>
            <w:r>
              <w:rPr>
                <w:sz w:val="18"/>
                <w:szCs w:val="18"/>
              </w:rPr>
              <w:t xml:space="preserve">5.9</w:t>
            </w:r>
          </w:p>
        </w:tc>
        <w:tc>
          <w:tcPr>
            <w:tcW w:type="dxa" w:w="3934"/>
            <w:tcMar>
              <w:top w:type="dxa" w:w="60"/>
              <w:left w:type="dxa" w:w="90"/>
              <w:bottom w:type="dxa" w:w="60"/>
              <w:right w:type="dxa" w:w="90"/>
            </w:tcMar>
          </w:tcPr>
          <w:p>
            <w:pPr>
              <w:spacing w:after="40"/>
            </w:pPr>
            <w:r>
              <w:rPr>
                <w:sz w:val="18"/>
                <w:szCs w:val="18"/>
              </w:rPr>
              <w:t xml:space="preserve">There is no discussion of sovereign sukuk used as controls (pp. 85–86).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Sovereign sukuk can yield more than conventional bonds because they are less liquid (Ariff et al., 2017; Asmuni &amp; Tan, 2020). Several of your controls are sovereign sukuk.</w:t>
            </w:r>
          </w:p>
        </w:tc>
        <w:tc>
          <w:tcPr>
            <w:tcW w:type="dxa" w:w="4079"/>
            <w:tcMar>
              <w:top w:type="dxa" w:w="60"/>
              <w:left w:type="dxa" w:w="90"/>
              <w:bottom w:type="dxa" w:w="60"/>
              <w:right w:type="dxa" w:w="90"/>
            </w:tcMar>
          </w:tcPr>
          <w:p>
            <w:pPr>
              <w:spacing w:after="40"/>
            </w:pPr>
            <w:r>
              <w:rPr>
                <w:sz w:val="18"/>
                <w:szCs w:val="18"/>
              </w:rPr>
              <w:t xml:space="preserve">Discuss this bias and test it in the determinants model.</w:t>
            </w:r>
          </w:p>
        </w:tc>
      </w:tr>
      <w:tr>
        <w:trPr>
          <w:cantSplit w:val="off"/>
        </w:trPr>
        <w:tc>
          <w:tcPr>
            <w:tcW w:type="dxa" w:w="729"/>
            <w:tcMar>
              <w:top w:type="dxa" w:w="60"/>
              <w:left w:type="dxa" w:w="90"/>
              <w:bottom w:type="dxa" w:w="60"/>
              <w:right w:type="dxa" w:w="90"/>
            </w:tcMar>
          </w:tcPr>
          <w:p>
            <w:pPr>
              <w:spacing w:after="40"/>
            </w:pPr>
            <w:r>
              <w:rPr>
                <w:sz w:val="18"/>
                <w:szCs w:val="18"/>
              </w:rPr>
              <w:t xml:space="preserve">5.10</w:t>
            </w:r>
          </w:p>
        </w:tc>
        <w:tc>
          <w:tcPr>
            <w:tcW w:type="dxa" w:w="3934"/>
            <w:tcMar>
              <w:top w:type="dxa" w:w="60"/>
              <w:left w:type="dxa" w:w="90"/>
              <w:bottom w:type="dxa" w:w="60"/>
              <w:right w:type="dxa" w:w="90"/>
            </w:tcMar>
          </w:tcPr>
          <w:p>
            <w:pPr>
              <w:spacing w:after="40"/>
            </w:pPr>
            <w:r>
              <w:rPr>
                <w:sz w:val="18"/>
                <w:szCs w:val="18"/>
              </w:rPr>
              <w:t xml:space="preserve">The rational-pricing section (pp. 86–88) is short and partly out of date.</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carries the title question. See MI-7.</w:t>
            </w:r>
          </w:p>
        </w:tc>
        <w:tc>
          <w:tcPr>
            <w:tcW w:type="dxa" w:w="4079"/>
            <w:tcMar>
              <w:top w:type="dxa" w:w="60"/>
              <w:left w:type="dxa" w:w="90"/>
              <w:bottom w:type="dxa" w:w="60"/>
              <w:right w:type="dxa" w:w="90"/>
            </w:tcMar>
          </w:tcPr>
          <w:p>
            <w:pPr>
              <w:spacing w:after="40"/>
            </w:pPr>
            <w:r>
              <w:rPr>
                <w:sz w:val="18"/>
                <w:szCs w:val="18"/>
              </w:rPr>
              <w:t xml:space="preserve">Make it the centrepiece. State what the design can show and what it cannot (Fama, 1970).</w:t>
            </w:r>
          </w:p>
        </w:tc>
      </w:tr>
      <w:tr>
        <w:trPr>
          <w:cantSplit w:val="off"/>
        </w:trPr>
        <w:tc>
          <w:tcPr>
            <w:tcW w:type="dxa" w:w="729"/>
            <w:tcMar>
              <w:top w:type="dxa" w:w="60"/>
              <w:left w:type="dxa" w:w="90"/>
              <w:bottom w:type="dxa" w:w="60"/>
              <w:right w:type="dxa" w:w="90"/>
            </w:tcMar>
          </w:tcPr>
          <w:p>
            <w:pPr>
              <w:spacing w:after="40"/>
            </w:pPr>
            <w:r>
              <w:rPr>
                <w:sz w:val="18"/>
                <w:szCs w:val="18"/>
              </w:rPr>
              <w:t xml:space="preserve">5.11</w:t>
            </w:r>
          </w:p>
        </w:tc>
        <w:tc>
          <w:tcPr>
            <w:tcW w:type="dxa" w:w="3934"/>
            <w:tcMar>
              <w:top w:type="dxa" w:w="60"/>
              <w:left w:type="dxa" w:w="90"/>
              <w:bottom w:type="dxa" w:w="60"/>
              <w:right w:type="dxa" w:w="90"/>
            </w:tcMar>
          </w:tcPr>
          <w:p>
            <w:pPr>
              <w:spacing w:after="40"/>
            </w:pPr>
            <w:r>
              <w:rPr>
                <w:sz w:val="18"/>
                <w:szCs w:val="18"/>
              </w:rPr>
              <w:t xml:space="preserve">The theoretical contribution rests on two old AT1 pairs (p. 88).</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final results replace these.</w:t>
            </w:r>
          </w:p>
        </w:tc>
        <w:tc>
          <w:tcPr>
            <w:tcW w:type="dxa" w:w="4079"/>
            <w:tcMar>
              <w:top w:type="dxa" w:w="60"/>
              <w:left w:type="dxa" w:w="90"/>
              <w:bottom w:type="dxa" w:w="60"/>
              <w:right w:type="dxa" w:w="90"/>
            </w:tcMar>
          </w:tcPr>
          <w:p>
            <w:pPr>
              <w:spacing w:after="40"/>
            </w:pPr>
            <w:r>
              <w:rPr>
                <w:sz w:val="18"/>
                <w:szCs w:val="18"/>
              </w:rPr>
              <w:t xml:space="preserve">Restate it using the final and determinants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5.12</w:t>
            </w:r>
          </w:p>
        </w:tc>
        <w:tc>
          <w:tcPr>
            <w:tcW w:type="dxa" w:w="3934"/>
            <w:tcMar>
              <w:top w:type="dxa" w:w="60"/>
              <w:left w:type="dxa" w:w="90"/>
              <w:bottom w:type="dxa" w:w="60"/>
              <w:right w:type="dxa" w:w="90"/>
            </w:tcMar>
          </w:tcPr>
          <w:p>
            <w:pPr>
              <w:spacing w:after="40"/>
            </w:pPr>
            <w:r>
              <w:rPr>
                <w:sz w:val="18"/>
                <w:szCs w:val="18"/>
              </w:rPr>
              <w:t xml:space="preserve">The methodological contribution is overstated (pp. 89–90).</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weighting point is already well known (Solon, Haider &amp; Wooldridge, 2015; Abadie et al., 2023).</w:t>
            </w:r>
          </w:p>
        </w:tc>
        <w:tc>
          <w:tcPr>
            <w:tcW w:type="dxa" w:w="4079"/>
            <w:tcMar>
              <w:top w:type="dxa" w:w="60"/>
              <w:left w:type="dxa" w:w="90"/>
              <w:bottom w:type="dxa" w:w="60"/>
              <w:right w:type="dxa" w:w="90"/>
            </w:tcMar>
          </w:tcPr>
          <w:p>
            <w:pPr>
              <w:spacing w:after="40"/>
            </w:pPr>
            <w:r>
              <w:rPr>
                <w:sz w:val="18"/>
                <w:szCs w:val="18"/>
              </w:rPr>
              <w:t xml:space="preserve">Present it as careful application and cite these papers.</w:t>
            </w:r>
          </w:p>
        </w:tc>
      </w:tr>
      <w:tr>
        <w:trPr>
          <w:cantSplit w:val="off"/>
        </w:trPr>
        <w:tc>
          <w:tcPr>
            <w:tcW w:type="dxa" w:w="729"/>
            <w:tcMar>
              <w:top w:type="dxa" w:w="60"/>
              <w:left w:type="dxa" w:w="90"/>
              <w:bottom w:type="dxa" w:w="60"/>
              <w:right w:type="dxa" w:w="90"/>
            </w:tcMar>
          </w:tcPr>
          <w:p>
            <w:pPr>
              <w:spacing w:after="40"/>
            </w:pPr>
            <w:r>
              <w:rPr>
                <w:sz w:val="18"/>
                <w:szCs w:val="18"/>
              </w:rPr>
              <w:t xml:space="preserve">5.13</w:t>
            </w:r>
          </w:p>
        </w:tc>
        <w:tc>
          <w:tcPr>
            <w:tcW w:type="dxa" w:w="3934"/>
            <w:tcMar>
              <w:top w:type="dxa" w:w="60"/>
              <w:left w:type="dxa" w:w="90"/>
              <w:bottom w:type="dxa" w:w="60"/>
              <w:right w:type="dxa" w:w="90"/>
            </w:tcMar>
          </w:tcPr>
          <w:p>
            <w:pPr>
              <w:spacing w:after="40"/>
            </w:pPr>
            <w:r>
              <w:rPr>
                <w:sz w:val="18"/>
                <w:szCs w:val="18"/>
              </w:rPr>
              <w:t xml:space="preserve">The implications (pp. 90–92) are general.</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Implications should follow from specific results and their size.</w:t>
            </w:r>
          </w:p>
        </w:tc>
        <w:tc>
          <w:tcPr>
            <w:tcW w:type="dxa" w:w="4079"/>
            <w:tcMar>
              <w:top w:type="dxa" w:w="60"/>
              <w:left w:type="dxa" w:w="90"/>
              <w:bottom w:type="dxa" w:w="60"/>
              <w:right w:type="dxa" w:w="90"/>
            </w:tcMar>
          </w:tcPr>
          <w:p>
            <w:pPr>
              <w:spacing w:after="40"/>
            </w:pPr>
            <w:r>
              <w:rPr>
                <w:sz w:val="18"/>
                <w:szCs w:val="18"/>
              </w:rPr>
              <w:t xml:space="preserve">Link each to a result. For example, 100 bp on a USD 500m AT1 ≈ USD 5m a year.</w:t>
            </w:r>
          </w:p>
        </w:tc>
      </w:tr>
      <w:tr>
        <w:trPr>
          <w:cantSplit w:val="off"/>
        </w:trPr>
        <w:tc>
          <w:tcPr>
            <w:tcW w:type="dxa" w:w="729"/>
            <w:tcMar>
              <w:top w:type="dxa" w:w="60"/>
              <w:left w:type="dxa" w:w="90"/>
              <w:bottom w:type="dxa" w:w="60"/>
              <w:right w:type="dxa" w:w="90"/>
            </w:tcMar>
          </w:tcPr>
          <w:p>
            <w:pPr>
              <w:spacing w:after="40"/>
            </w:pPr>
            <w:r>
              <w:rPr>
                <w:sz w:val="18"/>
                <w:szCs w:val="18"/>
              </w:rPr>
              <w:t xml:space="preserve">5.14</w:t>
            </w:r>
          </w:p>
        </w:tc>
        <w:tc>
          <w:tcPr>
            <w:tcW w:type="dxa" w:w="3934"/>
            <w:tcMar>
              <w:top w:type="dxa" w:w="60"/>
              <w:left w:type="dxa" w:w="90"/>
              <w:bottom w:type="dxa" w:w="60"/>
              <w:right w:type="dxa" w:w="90"/>
            </w:tcMar>
          </w:tcPr>
          <w:p>
            <w:pPr>
              <w:spacing w:after="40"/>
            </w:pPr>
            <w:r>
              <w:rPr>
                <w:sz w:val="18"/>
                <w:szCs w:val="18"/>
              </w:rPr>
              <w:t xml:space="preserve">The conclusion (pp. 93–95) does not answer the title question and leaves out objective (b), contributions, limitations and future research (promised on pp. 11 and 18). It also calls the sample a “Gulf bank segment” (p. 94), confuses efficiency with causality (p. 95), includes a process paragraph (p. 95) and has a typo, “sample.The” (p. 93).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you to restate the question and give a clear take-home message.</w:t>
            </w:r>
          </w:p>
        </w:tc>
        <w:tc>
          <w:tcPr>
            <w:tcW w:type="dxa" w:w="4079"/>
            <w:tcMar>
              <w:top w:type="dxa" w:w="60"/>
              <w:left w:type="dxa" w:w="90"/>
              <w:bottom w:type="dxa" w:w="60"/>
              <w:right w:type="dxa" w:w="90"/>
            </w:tcMar>
          </w:tcPr>
          <w:p>
            <w:pPr>
              <w:spacing w:after="40"/>
            </w:pPr>
            <w:r>
              <w:rPr>
                <w:sz w:val="18"/>
                <w:szCs w:val="18"/>
              </w:rPr>
              <w:t xml:space="preserve">Rewrite in this order: (a), (b), title question, contributions, limitations, future research (e.g., March 2023 study, AT1 sukuk vs the same bank’s conventional AT1, Malaysian ringgit green sukuk).</w:t>
            </w:r>
          </w:p>
        </w:tc>
      </w:tr>
      <w:tr>
        <w:trPr>
          <w:cantSplit w:val="off"/>
        </w:trPr>
        <w:tc>
          <w:tcPr>
            <w:tcW w:type="dxa" w:w="729"/>
            <w:tcMar>
              <w:top w:type="dxa" w:w="60"/>
              <w:left w:type="dxa" w:w="90"/>
              <w:bottom w:type="dxa" w:w="60"/>
              <w:right w:type="dxa" w:w="90"/>
            </w:tcMar>
          </w:tcPr>
          <w:p>
            <w:pPr>
              <w:spacing w:after="40"/>
            </w:pPr>
            <w:r>
              <w:rPr>
                <w:sz w:val="18"/>
                <w:szCs w:val="18"/>
              </w:rPr>
              <w:t xml:space="preserve">A.1</w:t>
            </w:r>
          </w:p>
        </w:tc>
        <w:tc>
          <w:tcPr>
            <w:tcW w:type="dxa" w:w="3934"/>
            <w:tcMar>
              <w:top w:type="dxa" w:w="60"/>
              <w:left w:type="dxa" w:w="90"/>
              <w:bottom w:type="dxa" w:w="60"/>
              <w:right w:type="dxa" w:w="90"/>
            </w:tcMar>
          </w:tcPr>
          <w:p>
            <w:pPr>
              <w:spacing w:after="40"/>
            </w:pPr>
            <w:r>
              <w:rPr>
                <w:sz w:val="18"/>
                <w:szCs w:val="18"/>
              </w:rPr>
              <w:t xml:space="preserve">Typo “instrujment” (Appendix D.4, pp. 111–112). The 15-pair regression is in Appendix C.3 (p. 108).</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t>
            </w:r>
          </w:p>
        </w:tc>
        <w:tc>
          <w:tcPr>
            <w:tcW w:type="dxa" w:w="4079"/>
            <w:tcMar>
              <w:top w:type="dxa" w:w="60"/>
              <w:left w:type="dxa" w:w="90"/>
              <w:bottom w:type="dxa" w:w="60"/>
              <w:right w:type="dxa" w:w="90"/>
            </w:tcMar>
          </w:tcPr>
          <w:p>
            <w:pPr>
              <w:spacing w:after="40"/>
            </w:pPr>
            <w:r>
              <w:rPr>
                <w:sz w:val="18"/>
                <w:szCs w:val="18"/>
              </w:rPr>
              <w:t xml:space="preserve">Fix the typo. Move the regression into the determinants chapter.</w:t>
            </w:r>
          </w:p>
        </w:tc>
      </w:tr>
    </w:tbl>
    <w:p>
      <w:pPr>
        <w:sectPr>
          <w:footerReference w:type="default" r:id="rId7"/>
          <w:pgSz w:w="16838" w:h="11906" w:orient="landscape"/>
          <w:pgMar w:top="1134" w:right="1134" w:bottom="1134" w:left="1134" w:header="708" w:footer="708" w:gutter="0"/>
          <w:pgNumType/>
          <w:docGrid w:linePitch="360"/>
        </w:sectPr>
      </w:pPr>
    </w:p>
    <w:p>
      <w:pPr>
        <w:pStyle w:val="Heading1"/>
      </w:pPr>
      <w:r>
        <w:t xml:space="preserve">Part 3. How examiners would likely read the chapters now</w:t>
      </w:r>
    </w:p>
    <w:p>
      <w:pPr>
        <w:spacing w:after="120" w:line="276"/>
      </w:pPr>
      <w:r>
        <w:t xml:space="preserve">This is my own judgement, based on the criteria in the examiners’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337"/>
        <w:gridCol w:w="2410"/>
      </w:tblGrid>
      <w:tr>
        <w:trPr>
          <w:tblHeader/>
        </w:trPr>
        <w:tc>
          <w:tcPr>
            <w:tcW w:type="dxa" w:w="2891"/>
            <w:shd w:fill="1F3864" w:color="auto" w:val="clear"/>
            <w:tcMar>
              <w:top w:type="dxa" w:w="60"/>
              <w:left w:type="dxa" w:w="90"/>
              <w:bottom w:type="dxa" w:w="60"/>
              <w:right w:type="dxa" w:w="90"/>
            </w:tcMar>
          </w:tcPr>
          <w:p>
            <w:pPr>
              <w:spacing w:after="40"/>
            </w:pPr>
            <w:r>
              <w:rPr>
                <w:b/>
                <w:bCs/>
                <w:color w:val="FFFFFF"/>
                <w:sz w:val="18"/>
                <w:szCs w:val="18"/>
              </w:rPr>
              <w:t xml:space="preserve">Examiner criterion</w:t>
            </w:r>
          </w:p>
        </w:tc>
        <w:tc>
          <w:tcPr>
            <w:tcW w:type="dxa" w:w="4337"/>
            <w:shd w:fill="1F3864" w:color="auto" w:val="clear"/>
            <w:tcMar>
              <w:top w:type="dxa" w:w="60"/>
              <w:left w:type="dxa" w:w="90"/>
              <w:bottom w:type="dxa" w:w="60"/>
              <w:right w:type="dxa" w:w="90"/>
            </w:tcMar>
          </w:tcPr>
          <w:p>
            <w:pPr>
              <w:spacing w:after="40"/>
            </w:pPr>
            <w:r>
              <w:rPr>
                <w:b/>
                <w:bCs/>
                <w:color w:val="FFFFFF"/>
                <w:sz w:val="18"/>
                <w:szCs w:val="18"/>
              </w:rPr>
              <w:t xml:space="preserve">Current draft</w:t>
            </w:r>
          </w:p>
        </w:tc>
        <w:tc>
          <w:tcPr>
            <w:tcW w:type="dxa" w:w="2410"/>
            <w:shd w:fill="1F3864" w:color="auto" w:val="clear"/>
            <w:tcMar>
              <w:top w:type="dxa" w:w="60"/>
              <w:left w:type="dxa" w:w="90"/>
              <w:bottom w:type="dxa" w:w="60"/>
              <w:right w:type="dxa" w:w="90"/>
            </w:tcMar>
          </w:tcPr>
          <w:p>
            <w:pPr>
              <w:spacing w:after="40"/>
            </w:pPr>
            <w:r>
              <w:rPr>
                <w:b/>
                <w:bCs/>
                <w:color w:val="FFFFFF"/>
                <w:sz w:val="18"/>
                <w:szCs w:val="18"/>
              </w:rPr>
              <w:t xml:space="preserve">What would improve it</w:t>
            </w:r>
          </w:p>
        </w:tc>
      </w:tr>
      <w:tr>
        <w:trPr>
          <w:cantSplit w:val="off"/>
        </w:trPr>
        <w:tc>
          <w:tcPr>
            <w:tcW w:type="dxa" w:w="2891"/>
            <w:tcMar>
              <w:top w:type="dxa" w:w="60"/>
              <w:left w:type="dxa" w:w="90"/>
              <w:bottom w:type="dxa" w:w="60"/>
              <w:right w:type="dxa" w:w="90"/>
            </w:tcMar>
          </w:tcPr>
          <w:p>
            <w:pPr>
              <w:spacing w:after="40"/>
            </w:pPr>
            <w:r>
              <w:rPr>
                <w:sz w:val="18"/>
                <w:szCs w:val="18"/>
              </w:rPr>
              <w:t xml:space="preserve">Overall quality: arguments and objectives</w:t>
            </w:r>
          </w:p>
        </w:tc>
        <w:tc>
          <w:tcPr>
            <w:tcW w:type="dxa" w:w="4337"/>
            <w:tcMar>
              <w:top w:type="dxa" w:w="60"/>
              <w:left w:type="dxa" w:w="90"/>
              <w:bottom w:type="dxa" w:w="60"/>
              <w:right w:type="dxa" w:w="90"/>
            </w:tcMar>
          </w:tcPr>
          <w:p>
            <w:pPr>
              <w:spacing w:after="40"/>
            </w:pPr>
            <w:r>
              <w:rPr>
                <w:sz w:val="18"/>
                <w:szCs w:val="18"/>
              </w:rPr>
              <w:t xml:space="preserve">The argument is hard to follow, and one objective is unanswered.</w:t>
            </w:r>
          </w:p>
        </w:tc>
        <w:tc>
          <w:tcPr>
            <w:tcW w:type="dxa" w:w="2410"/>
            <w:tcMar>
              <w:top w:type="dxa" w:w="60"/>
              <w:left w:type="dxa" w:w="90"/>
              <w:bottom w:type="dxa" w:w="60"/>
              <w:right w:type="dxa" w:w="90"/>
            </w:tcMar>
          </w:tcPr>
          <w:p>
            <w:pPr>
              <w:spacing w:after="40"/>
            </w:pPr>
            <w:r>
              <w:rPr>
                <w:sz w:val="18"/>
                <w:szCs w:val="18"/>
              </w:rPr>
              <w:t xml:space="preserve">MI-1, MI-2</w:t>
            </w:r>
          </w:p>
        </w:tc>
      </w:tr>
      <w:tr>
        <w:trPr>
          <w:cantSplit w:val="off"/>
        </w:trPr>
        <w:tc>
          <w:tcPr>
            <w:tcW w:type="dxa" w:w="2891"/>
            <w:tcMar>
              <w:top w:type="dxa" w:w="60"/>
              <w:left w:type="dxa" w:w="90"/>
              <w:bottom w:type="dxa" w:w="60"/>
              <w:right w:type="dxa" w:w="90"/>
            </w:tcMar>
          </w:tcPr>
          <w:p>
            <w:pPr>
              <w:spacing w:after="40"/>
            </w:pPr>
            <w:r>
              <w:rPr>
                <w:sz w:val="18"/>
                <w:szCs w:val="18"/>
              </w:rPr>
              <w:t xml:space="preserve">Use of previous research</w:t>
            </w:r>
          </w:p>
        </w:tc>
        <w:tc>
          <w:tcPr>
            <w:tcW w:type="dxa" w:w="4337"/>
            <w:tcMar>
              <w:top w:type="dxa" w:w="60"/>
              <w:left w:type="dxa" w:w="90"/>
              <w:bottom w:type="dxa" w:w="60"/>
              <w:right w:type="dxa" w:w="90"/>
            </w:tcMar>
          </w:tcPr>
          <w:p>
            <w:pPr>
              <w:spacing w:after="40"/>
            </w:pPr>
            <w:r>
              <w:rPr>
                <w:sz w:val="18"/>
                <w:szCs w:val="18"/>
              </w:rPr>
              <w:t xml:space="preserve">Wide reading, but it is seldom used to explain the findings.</w:t>
            </w:r>
          </w:p>
        </w:tc>
        <w:tc>
          <w:tcPr>
            <w:tcW w:type="dxa" w:w="2410"/>
            <w:tcMar>
              <w:top w:type="dxa" w:w="60"/>
              <w:left w:type="dxa" w:w="90"/>
              <w:bottom w:type="dxa" w:w="60"/>
              <w:right w:type="dxa" w:w="90"/>
            </w:tcMar>
          </w:tcPr>
          <w:p>
            <w:pPr>
              <w:spacing w:after="40"/>
            </w:pPr>
            <w:r>
              <w:rPr>
                <w:sz w:val="18"/>
                <w:szCs w:val="18"/>
              </w:rPr>
              <w:t xml:space="preserve">MI-7; items 5.3, 5.4, 5.8</w:t>
            </w:r>
          </w:p>
        </w:tc>
      </w:tr>
      <w:tr>
        <w:trPr>
          <w:cantSplit w:val="off"/>
        </w:trPr>
        <w:tc>
          <w:tcPr>
            <w:tcW w:type="dxa" w:w="2891"/>
            <w:tcMar>
              <w:top w:type="dxa" w:w="60"/>
              <w:left w:type="dxa" w:w="90"/>
              <w:bottom w:type="dxa" w:w="60"/>
              <w:right w:type="dxa" w:w="90"/>
            </w:tcMar>
          </w:tcPr>
          <w:p>
            <w:pPr>
              <w:spacing w:after="40"/>
            </w:pPr>
            <w:r>
              <w:rPr>
                <w:sz w:val="18"/>
                <w:szCs w:val="18"/>
              </w:rPr>
              <w:t xml:space="preserve">Methodology</w:t>
            </w:r>
          </w:p>
        </w:tc>
        <w:tc>
          <w:tcPr>
            <w:tcW w:type="dxa" w:w="4337"/>
            <w:tcMar>
              <w:top w:type="dxa" w:w="60"/>
              <w:left w:type="dxa" w:w="90"/>
              <w:bottom w:type="dxa" w:w="60"/>
              <w:right w:type="dxa" w:w="90"/>
            </w:tcMar>
          </w:tcPr>
          <w:p>
            <w:pPr>
              <w:spacing w:after="40"/>
            </w:pPr>
            <w:r>
              <w:rPr>
                <w:sz w:val="18"/>
                <w:szCs w:val="18"/>
              </w:rPr>
              <w:t xml:space="preserve">Good techniques, but the choices changed after the results, AT1 credit risk is not controlled, and some methods are never introduced.</w:t>
            </w:r>
          </w:p>
        </w:tc>
        <w:tc>
          <w:tcPr>
            <w:tcW w:type="dxa" w:w="2410"/>
            <w:tcMar>
              <w:top w:type="dxa" w:w="60"/>
              <w:left w:type="dxa" w:w="90"/>
              <w:bottom w:type="dxa" w:w="60"/>
              <w:right w:type="dxa" w:w="90"/>
            </w:tcMar>
          </w:tcPr>
          <w:p>
            <w:pPr>
              <w:spacing w:after="40"/>
            </w:pPr>
            <w:r>
              <w:rPr>
                <w:sz w:val="18"/>
                <w:szCs w:val="18"/>
              </w:rPr>
              <w:t xml:space="preserve">MI-3, MI-4, MI-5; items 3.8, 3.11, 3.12, 3.18</w:t>
            </w:r>
          </w:p>
        </w:tc>
      </w:tr>
      <w:tr>
        <w:trPr>
          <w:cantSplit w:val="off"/>
        </w:trPr>
        <w:tc>
          <w:tcPr>
            <w:tcW w:type="dxa" w:w="2891"/>
            <w:tcMar>
              <w:top w:type="dxa" w:w="60"/>
              <w:left w:type="dxa" w:w="90"/>
              <w:bottom w:type="dxa" w:w="60"/>
              <w:right w:type="dxa" w:w="90"/>
            </w:tcMar>
          </w:tcPr>
          <w:p>
            <w:pPr>
              <w:spacing w:after="40"/>
            </w:pPr>
            <w:r>
              <w:rPr>
                <w:sz w:val="18"/>
                <w:szCs w:val="18"/>
              </w:rPr>
              <w:t xml:space="preserve">Results analysis</w:t>
            </w:r>
          </w:p>
        </w:tc>
        <w:tc>
          <w:tcPr>
            <w:tcW w:type="dxa" w:w="4337"/>
            <w:tcMar>
              <w:top w:type="dxa" w:w="60"/>
              <w:left w:type="dxa" w:w="90"/>
              <w:bottom w:type="dxa" w:w="60"/>
              <w:right w:type="dxa" w:w="90"/>
            </w:tcMar>
          </w:tcPr>
          <w:p>
            <w:pPr>
              <w:spacing w:after="40"/>
            </w:pPr>
            <w:r>
              <w:rPr>
                <w:sz w:val="18"/>
                <w:szCs w:val="18"/>
              </w:rPr>
              <w:t xml:space="preserve">The data are there, but the order is unclear, the final results have no figures, and some numbers conflict.</w:t>
            </w:r>
          </w:p>
        </w:tc>
        <w:tc>
          <w:tcPr>
            <w:tcW w:type="dxa" w:w="2410"/>
            <w:tcMar>
              <w:top w:type="dxa" w:w="60"/>
              <w:left w:type="dxa" w:w="90"/>
              <w:bottom w:type="dxa" w:w="60"/>
              <w:right w:type="dxa" w:w="90"/>
            </w:tcMar>
          </w:tcPr>
          <w:p>
            <w:pPr>
              <w:spacing w:after="40"/>
            </w:pPr>
            <w:r>
              <w:rPr>
                <w:sz w:val="18"/>
                <w:szCs w:val="18"/>
              </w:rPr>
              <w:t xml:space="preserve">MI-2, MI-6; items 4.2, 4.3</w:t>
            </w:r>
          </w:p>
        </w:tc>
      </w:tr>
      <w:tr>
        <w:trPr>
          <w:cantSplit w:val="off"/>
        </w:trPr>
        <w:tc>
          <w:tcPr>
            <w:tcW w:type="dxa" w:w="2891"/>
            <w:tcMar>
              <w:top w:type="dxa" w:w="60"/>
              <w:left w:type="dxa" w:w="90"/>
              <w:bottom w:type="dxa" w:w="60"/>
              <w:right w:type="dxa" w:w="90"/>
            </w:tcMar>
          </w:tcPr>
          <w:p>
            <w:pPr>
              <w:spacing w:after="40"/>
            </w:pPr>
            <w:r>
              <w:rPr>
                <w:sz w:val="18"/>
                <w:szCs w:val="18"/>
              </w:rPr>
              <w:t xml:space="preserve">Discussion and conclusions</w:t>
            </w:r>
          </w:p>
        </w:tc>
        <w:tc>
          <w:tcPr>
            <w:tcW w:type="dxa" w:w="4337"/>
            <w:tcMar>
              <w:top w:type="dxa" w:w="60"/>
              <w:left w:type="dxa" w:w="90"/>
              <w:bottom w:type="dxa" w:w="60"/>
              <w:right w:type="dxa" w:w="90"/>
            </w:tcMar>
          </w:tcPr>
          <w:p>
            <w:pPr>
              <w:spacing w:after="40"/>
            </w:pPr>
            <w:r>
              <w:rPr>
                <w:sz w:val="18"/>
                <w:szCs w:val="18"/>
              </w:rPr>
              <w:t xml:space="preserve">Each hypothesis has a clear answer. The title question, objective (b) and future research are missing.</w:t>
            </w:r>
          </w:p>
        </w:tc>
        <w:tc>
          <w:tcPr>
            <w:tcW w:type="dxa" w:w="2410"/>
            <w:tcMar>
              <w:top w:type="dxa" w:w="60"/>
              <w:left w:type="dxa" w:w="90"/>
              <w:bottom w:type="dxa" w:w="60"/>
              <w:right w:type="dxa" w:w="90"/>
            </w:tcMar>
          </w:tcPr>
          <w:p>
            <w:pPr>
              <w:spacing w:after="40"/>
            </w:pPr>
            <w:r>
              <w:rPr>
                <w:sz w:val="18"/>
                <w:szCs w:val="18"/>
              </w:rPr>
              <w:t xml:space="preserve">MI-7; item 5.14</w:t>
            </w:r>
          </w:p>
        </w:tc>
      </w:tr>
      <w:tr>
        <w:trPr>
          <w:cantSplit w:val="off"/>
        </w:trPr>
        <w:tc>
          <w:tcPr>
            <w:tcW w:type="dxa" w:w="2891"/>
            <w:tcMar>
              <w:top w:type="dxa" w:w="60"/>
              <w:left w:type="dxa" w:w="90"/>
              <w:bottom w:type="dxa" w:w="60"/>
              <w:right w:type="dxa" w:w="90"/>
            </w:tcMar>
          </w:tcPr>
          <w:p>
            <w:pPr>
              <w:spacing w:after="40"/>
            </w:pPr>
            <w:r>
              <w:rPr>
                <w:sz w:val="18"/>
                <w:szCs w:val="18"/>
              </w:rPr>
              <w:t xml:space="preserve">Originality and publication</w:t>
            </w:r>
          </w:p>
        </w:tc>
        <w:tc>
          <w:tcPr>
            <w:tcW w:type="dxa" w:w="4337"/>
            <w:tcMar>
              <w:top w:type="dxa" w:w="60"/>
              <w:left w:type="dxa" w:w="90"/>
              <w:bottom w:type="dxa" w:w="60"/>
              <w:right w:type="dxa" w:w="90"/>
            </w:tcMar>
          </w:tcPr>
          <w:p>
            <w:pPr>
              <w:spacing w:after="40"/>
            </w:pPr>
            <w:r>
              <w:rPr>
                <w:sz w:val="18"/>
                <w:szCs w:val="18"/>
              </w:rPr>
              <w:t xml:space="preserve">Genuinely new: green sukuk pricing is under-studied (Alkadi, 2024), and secondary-market evidence on callable and AT1 sukuk is rare. There are two possible papers here.</w:t>
            </w:r>
          </w:p>
        </w:tc>
        <w:tc>
          <w:tcPr>
            <w:tcW w:type="dxa" w:w="2410"/>
            <w:tcMar>
              <w:top w:type="dxa" w:w="60"/>
              <w:left w:type="dxa" w:w="90"/>
              <w:bottom w:type="dxa" w:w="60"/>
              <w:right w:type="dxa" w:w="90"/>
            </w:tcMar>
          </w:tcPr>
          <w:p>
            <w:pPr>
              <w:spacing w:after="40"/>
            </w:pPr>
            <w:r>
              <w:rPr>
                <w:sz w:val="18"/>
                <w:szCs w:val="18"/>
              </w:rPr>
              <w:t xml:space="preserve">State the novelty clearly and lead with AT1.</w:t>
            </w:r>
          </w:p>
        </w:tc>
      </w:tr>
    </w:tbl>
    <w:p>
      <w:pPr>
        <w:spacing w:after="60"/>
      </w:pPr>
    </w:p>
    <w:p>
      <w:pPr>
        <w:pStyle w:val="Heading2"/>
      </w:pPr>
      <w:r>
        <w:t xml:space="preserve">Next steps</w:t>
      </w:r>
    </w:p>
    <w:p>
      <w:pPr>
        <w:spacing w:after="120" w:line="276"/>
      </w:pPr>
      <w:r>
        <w:t xml:space="preserve">Let us meet once you have read this. Please bring a one-page outline of the new chapter structure and a draft of the determinants models.</w:t>
      </w:r>
    </w:p>
    <w:p>
      <w:pPr>
        <w:spacing w:after="120" w:line="276"/>
      </w:pPr>
      <w:r>
        <w:t xml:space="preserve">Priorities: (1) MI-1 determinants; (2) MI-3 and MI-4; (3) MI-5; (4) the rewrite (MI-2, MI-6, MI-7). Clear the Part 2 items as you revise each section.</w:t>
      </w:r>
    </w:p>
    <w:p>
      <w:pPr>
        <w:spacing w:after="120" w:line="276"/>
      </w:pPr>
      <w:r>
        <w:t xml:space="preserve">The length of these comments is not a verdict on your work. Your results are stronger than the way they are presented. Most of what I am asking for is to make them clear.</w:t>
      </w:r>
    </w:p>
    <w:p>
      <w:pPr>
        <w:spacing w:after="60" w:before="240"/>
      </w:pPr>
      <w:r>
        <w:t xml:space="preserve">Best regards,</w:t>
      </w:r>
    </w:p>
    <w:p>
      <w:pPr>
        <w:spacing w:after="240"/>
      </w:pPr>
      <w:r>
        <w:rPr>
          <w:color w:val="7F7F7F"/>
        </w:rPr>
        <w:t xml:space="preserve">[Supervisor]</w:t>
      </w:r>
    </w:p>
    <w:p>
      <w:pPr>
        <w:pStyle w:val="Heading1"/>
      </w:pPr>
      <w:r>
        <w:t xml:space="preserve">Part 4. Literature to add</w:t>
      </w:r>
    </w:p>
    <w:p>
      <w:pPr>
        <w:spacing w:after="120" w:line="276"/>
      </w:pPr>
      <w:r>
        <w:t xml:space="preserve">None of the sources below is in your current reference list. I have listed the ones I think matter most. For each, I say why it matters for your study and where in the draft it belongs. </w:t>
      </w:r>
      <w:r>
        <w:rPr>
          <w:b/>
          <w:bCs/>
        </w:rPr>
        <w:t xml:space="preserve">Essential</w:t>
      </w:r>
      <w:r>
        <w:t xml:space="preserve"> means an examiner is likely to expect it. </w:t>
      </w:r>
      <w:r>
        <w:rPr>
          <w:b/>
          <w:bCs/>
        </w:rPr>
        <w:t xml:space="preserve">Recommended</w:t>
      </w:r>
      <w:r>
        <w:t xml:space="preserve"> means it would strengthen the argument.</w:t>
      </w:r>
    </w:p>
    <w:p>
      <w:pPr>
        <w:spacing w:after="120" w:line="276"/>
      </w:pPr>
      <w:r>
        <w:t xml:space="preserve">Five sources are working papers (marked </w:t>
      </w:r>
      <w:r>
        <w:rPr>
          <w:b/>
          <w:bCs/>
        </w:rPr>
        <w:t xml:space="preserve">[WP]</w:t>
      </w:r>
      <w:r>
        <w:t xml:space="preserve">). They are very recent and directly relevant, but they are not yet peer-reviewed. Cite them with that caveat, and check whether a published version exists before you submit.</w:t>
      </w:r>
    </w:p>
    <w:p>
      <w:pPr>
        <w:pStyle w:val="Heading2"/>
      </w:pPr>
      <w:r>
        <w:t xml:space="preserve">4.1 Objective (a): callable, putable and AT1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1735"/>
        <w:gridCol w:w="1157"/>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4433"/>
            <w:shd w:fill="1F3864" w:color="auto" w:val="clear"/>
            <w:tcMar>
              <w:top w:type="dxa" w:w="60"/>
              <w:left w:type="dxa" w:w="90"/>
              <w:bottom w:type="dxa" w:w="60"/>
              <w:right w:type="dxa" w:w="90"/>
            </w:tcMar>
          </w:tcPr>
          <w:p>
            <w:pPr>
              <w:spacing w:after="40"/>
            </w:pPr>
            <w:r>
              <w:rPr>
                <w:b/>
                <w:bCs/>
                <w:color w:val="FFFFFF"/>
                <w:sz w:val="18"/>
                <w:szCs w:val="18"/>
              </w:rPr>
              <w:t xml:space="preserve">Why it matters for your study</w:t>
            </w:r>
          </w:p>
        </w:tc>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Where to use it</w:t>
            </w:r>
          </w:p>
        </w:tc>
        <w:tc>
          <w:tcPr>
            <w:tcW w:type="dxa" w:w="1157"/>
            <w:shd w:fill="1F3864" w:color="auto" w:val="clear"/>
            <w:tcMar>
              <w:top w:type="dxa" w:w="60"/>
              <w:left w:type="dxa" w:w="90"/>
              <w:bottom w:type="dxa" w:w="60"/>
              <w:right w:type="dxa" w:w="90"/>
            </w:tcMar>
          </w:tcPr>
          <w:p>
            <w:pPr>
              <w:spacing w:after="40"/>
            </w:pPr>
            <w:r>
              <w:rPr>
                <w:b/>
                <w:bCs/>
                <w:color w:val="FFFFFF"/>
                <w:sz w:val="18"/>
                <w:szCs w:val="18"/>
              </w:rPr>
              <w:t xml:space="preserve">Priority</w:t>
            </w:r>
          </w:p>
        </w:tc>
      </w:tr>
      <w:tr>
        <w:trPr>
          <w:cantSplit w:val="off"/>
        </w:trPr>
        <w:tc>
          <w:tcPr>
            <w:tcW w:type="dxa" w:w="2313"/>
            <w:tcMar>
              <w:top w:type="dxa" w:w="60"/>
              <w:left w:type="dxa" w:w="90"/>
              <w:bottom w:type="dxa" w:w="60"/>
              <w:right w:type="dxa" w:w="90"/>
            </w:tcMar>
          </w:tcPr>
          <w:p>
            <w:pPr>
              <w:spacing w:after="40"/>
            </w:pPr>
            <w:r>
              <w:rPr>
                <w:sz w:val="18"/>
                <w:szCs w:val="18"/>
              </w:rPr>
              <w:t xml:space="preserve">Powers &amp; Tsyplakov (2008)</w:t>
            </w:r>
          </w:p>
        </w:tc>
        <w:tc>
          <w:tcPr>
            <w:tcW w:type="dxa" w:w="4433"/>
            <w:tcMar>
              <w:top w:type="dxa" w:w="60"/>
              <w:left w:type="dxa" w:w="90"/>
              <w:bottom w:type="dxa" w:w="60"/>
              <w:right w:type="dxa" w:w="90"/>
            </w:tcMar>
          </w:tcPr>
          <w:p>
            <w:pPr>
              <w:spacing w:after="40"/>
            </w:pPr>
            <w:r>
              <w:rPr>
                <w:sz w:val="18"/>
                <w:szCs w:val="18"/>
              </w:rPr>
              <w:t xml:space="preserve">Models put the cost of a make-whole call at 2–5 bp, while observed extra yields are 13–24 bp. This gives you a benchmark for how small a call premium can be, and supports your point that short calls near maturity are worth little.</w:t>
            </w:r>
          </w:p>
        </w:tc>
        <w:tc>
          <w:tcPr>
            <w:tcW w:type="dxa" w:w="1735"/>
            <w:tcMar>
              <w:top w:type="dxa" w:w="60"/>
              <w:left w:type="dxa" w:w="90"/>
              <w:bottom w:type="dxa" w:w="60"/>
              <w:right w:type="dxa" w:w="90"/>
            </w:tcMar>
          </w:tcPr>
          <w:p>
            <w:pPr>
              <w:spacing w:after="40"/>
            </w:pPr>
            <w:r>
              <w:rPr>
                <w:sz w:val="18"/>
                <w:szCs w:val="18"/>
              </w:rPr>
              <w:t xml:space="preserve">§5.2 (pp. 74–76); §4.9 (p. 47)</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Booth, Gounopoulos &amp; Skinner (2014)</w:t>
            </w:r>
          </w:p>
        </w:tc>
        <w:tc>
          <w:tcPr>
            <w:tcW w:type="dxa" w:w="4433"/>
            <w:tcMar>
              <w:top w:type="dxa" w:w="60"/>
              <w:left w:type="dxa" w:w="90"/>
              <w:bottom w:type="dxa" w:w="60"/>
              <w:right w:type="dxa" w:w="90"/>
            </w:tcMar>
          </w:tcPr>
          <w:p>
            <w:pPr>
              <w:spacing w:after="40"/>
            </w:pPr>
            <w:r>
              <w:rPr>
                <w:sz w:val="18"/>
                <w:szCs w:val="18"/>
              </w:rPr>
              <w:t xml:space="preserve">Callable versus non-callable spreads differ between financial and non-financial issuers, so the two should be analysed separately. Your callable and AT1 samples are dominated by banks and financial vehicles.</w:t>
            </w:r>
          </w:p>
        </w:tc>
        <w:tc>
          <w:tcPr>
            <w:tcW w:type="dxa" w:w="1735"/>
            <w:tcMar>
              <w:top w:type="dxa" w:w="60"/>
              <w:left w:type="dxa" w:w="90"/>
              <w:bottom w:type="dxa" w:w="60"/>
              <w:right w:type="dxa" w:w="90"/>
            </w:tcMar>
          </w:tcPr>
          <w:p>
            <w:pPr>
              <w:spacing w:after="40"/>
            </w:pPr>
            <w:r>
              <w:rPr>
                <w:sz w:val="18"/>
                <w:szCs w:val="18"/>
              </w:rPr>
              <w:t xml:space="preserve">§3.5 (pp. 9–11); §5.2</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Spivey (1989)</w:t>
            </w:r>
          </w:p>
        </w:tc>
        <w:tc>
          <w:tcPr>
            <w:tcW w:type="dxa" w:w="4433"/>
            <w:tcMar>
              <w:top w:type="dxa" w:w="60"/>
              <w:left w:type="dxa" w:w="90"/>
              <w:bottom w:type="dxa" w:w="60"/>
              <w:right w:type="dxa" w:w="90"/>
            </w:tcMar>
          </w:tcPr>
          <w:p>
            <w:pPr>
              <w:spacing w:after="40"/>
            </w:pPr>
            <w:r>
              <w:rPr>
                <w:sz w:val="18"/>
                <w:szCs w:val="18"/>
              </w:rPr>
              <w:t xml:space="preserve">Issuers pay a call premium once self-selection into callable issuance is corrected. This supports your point that feature choice is endogenous (§3.1, p. 3), and it offers a correction method (probit switching regression).</w:t>
            </w:r>
          </w:p>
        </w:tc>
        <w:tc>
          <w:tcPr>
            <w:tcW w:type="dxa" w:w="1735"/>
            <w:tcMar>
              <w:top w:type="dxa" w:w="60"/>
              <w:left w:type="dxa" w:w="90"/>
              <w:bottom w:type="dxa" w:w="60"/>
              <w:right w:type="dxa" w:w="90"/>
            </w:tcMar>
          </w:tcPr>
          <w:p>
            <w:pPr>
              <w:spacing w:after="40"/>
            </w:pPr>
            <w:r>
              <w:rPr>
                <w:sz w:val="18"/>
                <w:szCs w:val="18"/>
              </w:rPr>
              <w:t xml:space="preserve">§3.1 (p. 3); §5.5 (p. 86)</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Elkamhi, Ericsson &amp; Wang (2012)</w:t>
            </w:r>
          </w:p>
        </w:tc>
        <w:tc>
          <w:tcPr>
            <w:tcW w:type="dxa" w:w="4433"/>
            <w:tcMar>
              <w:top w:type="dxa" w:w="60"/>
              <w:left w:type="dxa" w:w="90"/>
              <w:bottom w:type="dxa" w:w="60"/>
              <w:right w:type="dxa" w:w="90"/>
            </w:tcMar>
          </w:tcPr>
          <w:p>
            <w:pPr>
              <w:spacing w:after="40"/>
            </w:pPr>
            <w:r>
              <w:rPr>
                <w:sz w:val="18"/>
                <w:szCs w:val="18"/>
              </w:rPr>
              <w:t xml:space="preserve">Put features lower yield spreads, mainly by reducing default risk. This gives H1c its theoretical prediction, even though you cannot test it.</w:t>
            </w:r>
          </w:p>
        </w:tc>
        <w:tc>
          <w:tcPr>
            <w:tcW w:type="dxa" w:w="1735"/>
            <w:tcMar>
              <w:top w:type="dxa" w:w="60"/>
              <w:left w:type="dxa" w:w="90"/>
              <w:bottom w:type="dxa" w:w="60"/>
              <w:right w:type="dxa" w:w="90"/>
            </w:tcMar>
          </w:tcPr>
          <w:p>
            <w:pPr>
              <w:spacing w:after="40"/>
            </w:pPr>
            <w:r>
              <w:rPr>
                <w:sz w:val="18"/>
                <w:szCs w:val="18"/>
              </w:rPr>
              <w:t xml:space="preserve">§4.10 (p. 49); §5.12 (p. 94)</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Tewari &amp; Ramanlal (2022)</w:t>
            </w:r>
          </w:p>
        </w:tc>
        <w:tc>
          <w:tcPr>
            <w:tcW w:type="dxa" w:w="4433"/>
            <w:tcMar>
              <w:top w:type="dxa" w:w="60"/>
              <w:left w:type="dxa" w:w="90"/>
              <w:bottom w:type="dxa" w:w="60"/>
              <w:right w:type="dxa" w:w="90"/>
            </w:tcMar>
          </w:tcPr>
          <w:p>
            <w:pPr>
              <w:spacing w:after="40"/>
            </w:pPr>
            <w:r>
              <w:rPr>
                <w:sz w:val="18"/>
                <w:szCs w:val="18"/>
              </w:rPr>
              <w:t xml:space="preserve">The put reduces credit risk and agency conflicts, while the call mainly reduces interest-rate risk. This clarifies what each feature should do to yields.</w:t>
            </w:r>
          </w:p>
        </w:tc>
        <w:tc>
          <w:tcPr>
            <w:tcW w:type="dxa" w:w="1735"/>
            <w:tcMar>
              <w:top w:type="dxa" w:w="60"/>
              <w:left w:type="dxa" w:w="90"/>
              <w:bottom w:type="dxa" w:w="60"/>
              <w:right w:type="dxa" w:w="90"/>
            </w:tcMar>
          </w:tcPr>
          <w:p>
            <w:pPr>
              <w:spacing w:after="40"/>
            </w:pPr>
            <w:r>
              <w:rPr>
                <w:sz w:val="18"/>
                <w:szCs w:val="18"/>
              </w:rPr>
              <w:t xml:space="preserve">§4.10; Chapter 2 framing</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Bolton, Jiang &amp; Kartasheva (2023)</w:t>
            </w:r>
          </w:p>
        </w:tc>
        <w:tc>
          <w:tcPr>
            <w:tcW w:type="dxa" w:w="4433"/>
            <w:tcMar>
              <w:top w:type="dxa" w:w="60"/>
              <w:left w:type="dxa" w:w="90"/>
              <w:bottom w:type="dxa" w:w="60"/>
              <w:right w:type="dxa" w:w="90"/>
            </w:tcMar>
          </w:tcPr>
          <w:p>
            <w:pPr>
              <w:spacing w:after="40"/>
            </w:pPr>
            <w:r>
              <w:rPr>
                <w:sz w:val="18"/>
                <w:szCs w:val="18"/>
              </w:rPr>
              <w:t xml:space="preserve">An analysis of the Credit Suisse AT1 write-down. You rely on BIS and Basel reports for March 2023 (p. 78). This is the academic source you need for an event test around that date.</w:t>
            </w:r>
          </w:p>
        </w:tc>
        <w:tc>
          <w:tcPr>
            <w:tcW w:type="dxa" w:w="1735"/>
            <w:tcMar>
              <w:top w:type="dxa" w:w="60"/>
              <w:left w:type="dxa" w:w="90"/>
              <w:bottom w:type="dxa" w:w="60"/>
              <w:right w:type="dxa" w:w="90"/>
            </w:tcMar>
          </w:tcPr>
          <w:p>
            <w:pPr>
              <w:spacing w:after="40"/>
            </w:pPr>
            <w:r>
              <w:rPr>
                <w:sz w:val="18"/>
                <w:szCs w:val="18"/>
              </w:rPr>
              <w:t xml:space="preserve">§5.3 (p. 78); new event analysis (MI-1)</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Salhani &amp; Mouselli (2022)</w:t>
            </w:r>
          </w:p>
        </w:tc>
        <w:tc>
          <w:tcPr>
            <w:tcW w:type="dxa" w:w="4433"/>
            <w:tcMar>
              <w:top w:type="dxa" w:w="60"/>
              <w:left w:type="dxa" w:w="90"/>
              <w:bottom w:type="dxa" w:w="60"/>
              <w:right w:type="dxa" w:w="90"/>
            </w:tcMar>
          </w:tcPr>
          <w:p>
            <w:pPr>
              <w:spacing w:after="40"/>
            </w:pPr>
            <w:r>
              <w:rPr>
                <w:sz w:val="18"/>
                <w:szCs w:val="18"/>
              </w:rPr>
              <w:t xml:space="preserve">The only empirical study I found on Tier 1 sukuk: it finds them cheaper than equity for UAE Islamic banks. It helps place your ~100 bp AT1 premium between senior debt and equity.</w:t>
            </w:r>
          </w:p>
        </w:tc>
        <w:tc>
          <w:tcPr>
            <w:tcW w:type="dxa" w:w="1735"/>
            <w:tcMar>
              <w:top w:type="dxa" w:w="60"/>
              <w:left w:type="dxa" w:w="90"/>
              <w:bottom w:type="dxa" w:w="60"/>
              <w:right w:type="dxa" w:w="90"/>
            </w:tcMar>
          </w:tcPr>
          <w:p>
            <w:pPr>
              <w:spacing w:after="40"/>
            </w:pPr>
            <w:r>
              <w:rPr>
                <w:sz w:val="18"/>
                <w:szCs w:val="18"/>
              </w:rPr>
              <w:t xml:space="preserve">§5.3 (pp. 76–80)</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Nasr &amp; Hasan (2024)</w:t>
            </w:r>
          </w:p>
        </w:tc>
        <w:tc>
          <w:tcPr>
            <w:tcW w:type="dxa" w:w="4433"/>
            <w:tcMar>
              <w:top w:type="dxa" w:w="60"/>
              <w:left w:type="dxa" w:w="90"/>
              <w:bottom w:type="dxa" w:w="60"/>
              <w:right w:type="dxa" w:w="90"/>
            </w:tcMar>
          </w:tcPr>
          <w:p>
            <w:pPr>
              <w:spacing w:after="40"/>
            </w:pPr>
            <w:r>
              <w:rPr>
                <w:sz w:val="18"/>
                <w:szCs w:val="18"/>
              </w:rPr>
              <w:t xml:space="preserve">Reviews Shari’ah issues in Tier 1 sukuk, including how deferred profit payments are treated. This is the sukuk-specific side of coupon discretion that your AT1 discussion currently lacks.</w:t>
            </w:r>
          </w:p>
        </w:tc>
        <w:tc>
          <w:tcPr>
            <w:tcW w:type="dxa" w:w="1735"/>
            <w:tcMar>
              <w:top w:type="dxa" w:w="60"/>
              <w:left w:type="dxa" w:w="90"/>
              <w:bottom w:type="dxa" w:w="60"/>
              <w:right w:type="dxa" w:w="90"/>
            </w:tcMar>
          </w:tcPr>
          <w:p>
            <w:pPr>
              <w:spacing w:after="40"/>
            </w:pPr>
            <w:r>
              <w:rPr>
                <w:sz w:val="18"/>
                <w:szCs w:val="18"/>
              </w:rPr>
              <w:t xml:space="preserve">§5.3; §5.5 (pp. 85–86)</w:t>
            </w:r>
          </w:p>
        </w:tc>
        <w:tc>
          <w:tcPr>
            <w:tcW w:type="dxa" w:w="1157"/>
            <w:tcMar>
              <w:top w:type="dxa" w:w="60"/>
              <w:left w:type="dxa" w:w="90"/>
              <w:bottom w:type="dxa" w:w="60"/>
              <w:right w:type="dxa" w:w="90"/>
            </w:tcMar>
          </w:tcPr>
          <w:p>
            <w:pPr>
              <w:spacing w:after="40"/>
            </w:pPr>
            <w:r>
              <w:rPr>
                <w:sz w:val="18"/>
                <w:szCs w:val="18"/>
              </w:rPr>
              <w:t xml:space="preserve">Recommended</w:t>
            </w:r>
          </w:p>
        </w:tc>
      </w:tr>
    </w:tbl>
    <w:p>
      <w:pPr>
        <w:spacing w:after="60"/>
      </w:pPr>
    </w:p>
    <w:p>
      <w:pPr>
        <w:pStyle w:val="Heading2"/>
      </w:pPr>
      <w:r>
        <w:t xml:space="preserve">4.2 Objective (a): labelled and sustainability instruments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1735"/>
        <w:gridCol w:w="1157"/>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4433"/>
            <w:shd w:fill="1F3864" w:color="auto" w:val="clear"/>
            <w:tcMar>
              <w:top w:type="dxa" w:w="60"/>
              <w:left w:type="dxa" w:w="90"/>
              <w:bottom w:type="dxa" w:w="60"/>
              <w:right w:type="dxa" w:w="90"/>
            </w:tcMar>
          </w:tcPr>
          <w:p>
            <w:pPr>
              <w:spacing w:after="40"/>
            </w:pPr>
            <w:r>
              <w:rPr>
                <w:b/>
                <w:bCs/>
                <w:color w:val="FFFFFF"/>
                <w:sz w:val="18"/>
                <w:szCs w:val="18"/>
              </w:rPr>
              <w:t xml:space="preserve">Why it matters for your study</w:t>
            </w:r>
          </w:p>
        </w:tc>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Where to use it</w:t>
            </w:r>
          </w:p>
        </w:tc>
        <w:tc>
          <w:tcPr>
            <w:tcW w:type="dxa" w:w="1157"/>
            <w:shd w:fill="1F3864" w:color="auto" w:val="clear"/>
            <w:tcMar>
              <w:top w:type="dxa" w:w="60"/>
              <w:left w:type="dxa" w:w="90"/>
              <w:bottom w:type="dxa" w:w="60"/>
              <w:right w:type="dxa" w:w="90"/>
            </w:tcMar>
          </w:tcPr>
          <w:p>
            <w:pPr>
              <w:spacing w:after="40"/>
            </w:pPr>
            <w:r>
              <w:rPr>
                <w:b/>
                <w:bCs/>
                <w:color w:val="FFFFFF"/>
                <w:sz w:val="18"/>
                <w:szCs w:val="18"/>
              </w:rPr>
              <w:t xml:space="preserve">Priority</w:t>
            </w:r>
          </w:p>
        </w:tc>
      </w:tr>
      <w:tr>
        <w:trPr>
          <w:cantSplit w:val="off"/>
        </w:trPr>
        <w:tc>
          <w:tcPr>
            <w:tcW w:type="dxa" w:w="2313"/>
            <w:tcMar>
              <w:top w:type="dxa" w:w="60"/>
              <w:left w:type="dxa" w:w="90"/>
              <w:bottom w:type="dxa" w:w="60"/>
              <w:right w:type="dxa" w:w="90"/>
            </w:tcMar>
          </w:tcPr>
          <w:p>
            <w:pPr>
              <w:spacing w:after="40"/>
            </w:pPr>
            <w:r>
              <w:rPr>
                <w:sz w:val="18"/>
                <w:szCs w:val="18"/>
              </w:rPr>
              <w:t xml:space="preserve">Fatica, Panzica &amp; Rancan (2021)</w:t>
            </w:r>
          </w:p>
        </w:tc>
        <w:tc>
          <w:tcPr>
            <w:tcW w:type="dxa" w:w="4433"/>
            <w:tcMar>
              <w:top w:type="dxa" w:w="60"/>
              <w:left w:type="dxa" w:w="90"/>
              <w:bottom w:type="dxa" w:w="60"/>
              <w:right w:type="dxa" w:w="90"/>
            </w:tcMar>
          </w:tcPr>
          <w:p>
            <w:pPr>
              <w:spacing w:after="40"/>
            </w:pPr>
            <w:r>
              <w:rPr>
                <w:sz w:val="18"/>
                <w:szCs w:val="18"/>
              </w:rPr>
              <w:t xml:space="preserve">There is a greenium for supranational and corporate issuers but </w:t>
            </w:r>
            <w:r>
              <w:rPr>
                <w:b/>
                <w:bCs/>
                <w:sz w:val="18"/>
                <w:szCs w:val="18"/>
              </w:rPr>
              <w:t xml:space="preserve">not for financial institutions</w:t>
            </w:r>
            <w:r>
              <w:rPr>
                <w:sz w:val="18"/>
                <w:szCs w:val="18"/>
              </w:rPr>
              <w:t xml:space="preserve">, and external review increases it. Several of your labelled issuers are banks. This helps explain why your full-horizon label result is not significant.</w:t>
            </w:r>
          </w:p>
        </w:tc>
        <w:tc>
          <w:tcPr>
            <w:tcW w:type="dxa" w:w="1735"/>
            <w:tcMar>
              <w:top w:type="dxa" w:w="60"/>
              <w:left w:type="dxa" w:w="90"/>
              <w:bottom w:type="dxa" w:w="60"/>
              <w:right w:type="dxa" w:w="90"/>
            </w:tcMar>
          </w:tcPr>
          <w:p>
            <w:pPr>
              <w:spacing w:after="40"/>
            </w:pPr>
            <w:r>
              <w:rPr>
                <w:sz w:val="18"/>
                <w:szCs w:val="18"/>
              </w:rPr>
              <w:t xml:space="preserve">§5.4 (pp. 80–85)</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Dorfleitner, Utz &amp; Zhang (2021)</w:t>
            </w:r>
          </w:p>
        </w:tc>
        <w:tc>
          <w:tcPr>
            <w:tcW w:type="dxa" w:w="4433"/>
            <w:tcMar>
              <w:top w:type="dxa" w:w="60"/>
              <w:left w:type="dxa" w:w="90"/>
              <w:bottom w:type="dxa" w:w="60"/>
              <w:right w:type="dxa" w:w="90"/>
            </w:tcMar>
          </w:tcPr>
          <w:p>
            <w:pPr>
              <w:spacing w:after="40"/>
            </w:pPr>
            <w:r>
              <w:rPr>
                <w:sz w:val="18"/>
                <w:szCs w:val="18"/>
              </w:rPr>
              <w:t xml:space="preserve">The green premium rises with the strength of external review. This is the direct literature for your verification split, which currently has no reference.</w:t>
            </w:r>
          </w:p>
        </w:tc>
        <w:tc>
          <w:tcPr>
            <w:tcW w:type="dxa" w:w="1735"/>
            <w:tcMar>
              <w:top w:type="dxa" w:w="60"/>
              <w:left w:type="dxa" w:w="90"/>
              <w:bottom w:type="dxa" w:w="60"/>
              <w:right w:type="dxa" w:w="90"/>
            </w:tcMar>
          </w:tcPr>
          <w:p>
            <w:pPr>
              <w:spacing w:after="40"/>
            </w:pPr>
            <w:r>
              <w:rPr>
                <w:sz w:val="18"/>
                <w:szCs w:val="18"/>
              </w:rPr>
              <w:t xml:space="preserve">§4.7 (pp. 40–41); §5.4</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Sun, Feng &amp; Zhou (2022)</w:t>
            </w:r>
          </w:p>
        </w:tc>
        <w:tc>
          <w:tcPr>
            <w:tcW w:type="dxa" w:w="4433"/>
            <w:tcMar>
              <w:top w:type="dxa" w:w="60"/>
              <w:left w:type="dxa" w:w="90"/>
              <w:bottom w:type="dxa" w:w="60"/>
              <w:right w:type="dxa" w:w="90"/>
            </w:tcMar>
          </w:tcPr>
          <w:p>
            <w:pPr>
              <w:spacing w:after="40"/>
            </w:pPr>
            <w:r>
              <w:rPr>
                <w:sz w:val="18"/>
                <w:szCs w:val="18"/>
              </w:rPr>
              <w:t xml:space="preserve">Third-party certification strengthens the greenium, and financial green bonds show none. This supports Fatica et al. (2021), in an emerging market.</w:t>
            </w:r>
          </w:p>
        </w:tc>
        <w:tc>
          <w:tcPr>
            <w:tcW w:type="dxa" w:w="1735"/>
            <w:tcMar>
              <w:top w:type="dxa" w:w="60"/>
              <w:left w:type="dxa" w:w="90"/>
              <w:bottom w:type="dxa" w:w="60"/>
              <w:right w:type="dxa" w:w="90"/>
            </w:tcMar>
          </w:tcPr>
          <w:p>
            <w:pPr>
              <w:spacing w:after="40"/>
            </w:pPr>
            <w:r>
              <w:rPr>
                <w:sz w:val="18"/>
                <w:szCs w:val="18"/>
              </w:rPr>
              <w:t xml:space="preserve">§5.4</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Sheng, Zheng &amp; Zhong (2021)</w:t>
            </w:r>
          </w:p>
        </w:tc>
        <w:tc>
          <w:tcPr>
            <w:tcW w:type="dxa" w:w="4433"/>
            <w:tcMar>
              <w:top w:type="dxa" w:w="60"/>
              <w:left w:type="dxa" w:w="90"/>
              <w:bottom w:type="dxa" w:w="60"/>
              <w:right w:type="dxa" w:w="90"/>
            </w:tcMar>
          </w:tcPr>
          <w:p>
            <w:pPr>
              <w:spacing w:after="40"/>
            </w:pPr>
            <w:r>
              <w:rPr>
                <w:sz w:val="18"/>
                <w:szCs w:val="18"/>
              </w:rPr>
              <w:t xml:space="preserve">The greenium is larger for state-owned issuers and depends on verification. This is relevant to your sovereign and state-linked issuers (Indonesia, Saudi Electricity).</w:t>
            </w:r>
          </w:p>
        </w:tc>
        <w:tc>
          <w:tcPr>
            <w:tcW w:type="dxa" w:w="1735"/>
            <w:tcMar>
              <w:top w:type="dxa" w:w="60"/>
              <w:left w:type="dxa" w:w="90"/>
              <w:bottom w:type="dxa" w:w="60"/>
              <w:right w:type="dxa" w:w="90"/>
            </w:tcMar>
          </w:tcPr>
          <w:p>
            <w:pPr>
              <w:spacing w:after="40"/>
            </w:pPr>
            <w:r>
              <w:rPr>
                <w:sz w:val="18"/>
                <w:szCs w:val="18"/>
              </w:rPr>
              <w:t xml:space="preserve">§5.4</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Wollny, Derwall &amp; Galema (2026) [WP]</w:t>
            </w:r>
          </w:p>
        </w:tc>
        <w:tc>
          <w:tcPr>
            <w:tcW w:type="dxa" w:w="4433"/>
            <w:tcMar>
              <w:top w:type="dxa" w:w="60"/>
              <w:left w:type="dxa" w:w="90"/>
              <w:bottom w:type="dxa" w:w="60"/>
              <w:right w:type="dxa" w:w="90"/>
            </w:tcMar>
          </w:tcPr>
          <w:p>
            <w:pPr>
              <w:spacing w:after="40"/>
            </w:pPr>
            <w:r>
              <w:rPr>
                <w:sz w:val="18"/>
                <w:szCs w:val="18"/>
              </w:rPr>
              <w:t xml:space="preserve">The corporate greenium disappeared and </w:t>
            </w:r>
            <w:r>
              <w:rPr>
                <w:b/>
                <w:bCs/>
                <w:sz w:val="18"/>
                <w:szCs w:val="18"/>
              </w:rPr>
              <w:t xml:space="preserve">reversed from 2023</w:t>
            </w:r>
            <w:r>
              <w:rPr>
                <w:sz w:val="18"/>
                <w:szCs w:val="18"/>
              </w:rPr>
              <w:t xml:space="preserve">: green bonds yielded 6.4 bp more in 2024. This is a direct explanation for why your label result turns positive on the full horizon to August 2026.</w:t>
            </w:r>
          </w:p>
        </w:tc>
        <w:tc>
          <w:tcPr>
            <w:tcW w:type="dxa" w:w="1735"/>
            <w:tcMar>
              <w:top w:type="dxa" w:w="60"/>
              <w:left w:type="dxa" w:w="90"/>
              <w:bottom w:type="dxa" w:w="60"/>
              <w:right w:type="dxa" w:w="90"/>
            </w:tcMar>
          </w:tcPr>
          <w:p>
            <w:pPr>
              <w:spacing w:after="40"/>
            </w:pPr>
            <w:r>
              <w:rPr>
                <w:sz w:val="18"/>
                <w:szCs w:val="18"/>
              </w:rPr>
              <w:t xml:space="preserve">§4.5 (p. 33); §5.4 (p. 80)</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Lehkonen, Heimonen &amp; Simola (2025) [WP]</w:t>
            </w:r>
          </w:p>
        </w:tc>
        <w:tc>
          <w:tcPr>
            <w:tcW w:type="dxa" w:w="4433"/>
            <w:tcMar>
              <w:top w:type="dxa" w:w="60"/>
              <w:left w:type="dxa" w:w="90"/>
              <w:bottom w:type="dxa" w:w="60"/>
              <w:right w:type="dxa" w:w="90"/>
            </w:tcMar>
          </w:tcPr>
          <w:p>
            <w:pPr>
              <w:spacing w:after="40"/>
            </w:pPr>
            <w:r>
              <w:rPr>
                <w:sz w:val="18"/>
                <w:szCs w:val="18"/>
              </w:rPr>
              <w:t xml:space="preserve">The greenium shrinks as the market saturates and moves with climate concern and policy uncertainty. It supports treating the label premium as time-varying.</w:t>
            </w:r>
          </w:p>
        </w:tc>
        <w:tc>
          <w:tcPr>
            <w:tcW w:type="dxa" w:w="1735"/>
            <w:tcMar>
              <w:top w:type="dxa" w:w="60"/>
              <w:left w:type="dxa" w:w="90"/>
              <w:bottom w:type="dxa" w:w="60"/>
              <w:right w:type="dxa" w:w="90"/>
            </w:tcMar>
          </w:tcPr>
          <w:p>
            <w:pPr>
              <w:spacing w:after="40"/>
            </w:pPr>
            <w:r>
              <w:rPr>
                <w:sz w:val="18"/>
                <w:szCs w:val="18"/>
              </w:rPr>
              <w:t xml:space="preserve">§5.4; determinants model</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Latif, Husodo &amp; Hendranastiti (2026) [WP]</w:t>
            </w:r>
          </w:p>
        </w:tc>
        <w:tc>
          <w:tcPr>
            <w:tcW w:type="dxa" w:w="4433"/>
            <w:tcMar>
              <w:top w:type="dxa" w:w="60"/>
              <w:left w:type="dxa" w:w="90"/>
              <w:bottom w:type="dxa" w:w="60"/>
              <w:right w:type="dxa" w:w="90"/>
            </w:tcMar>
          </w:tcPr>
          <w:p>
            <w:pPr>
              <w:spacing w:after="40"/>
            </w:pPr>
            <w:r>
              <w:rPr>
                <w:sz w:val="18"/>
                <w:szCs w:val="18"/>
              </w:rPr>
              <w:t xml:space="preserve">Reports large greeniums for Indonesian green sukuk (primary market). Your window result is concentrated in the Indonesian sovereign programme. This paper lets you present that as a finding rather than only as a threat.</w:t>
            </w:r>
          </w:p>
        </w:tc>
        <w:tc>
          <w:tcPr>
            <w:tcW w:type="dxa" w:w="1735"/>
            <w:tcMar>
              <w:top w:type="dxa" w:w="60"/>
              <w:left w:type="dxa" w:w="90"/>
              <w:bottom w:type="dxa" w:w="60"/>
              <w:right w:type="dxa" w:w="90"/>
            </w:tcMar>
          </w:tcPr>
          <w:p>
            <w:pPr>
              <w:spacing w:after="40"/>
            </w:pPr>
            <w:r>
              <w:rPr>
                <w:sz w:val="18"/>
                <w:szCs w:val="18"/>
              </w:rPr>
              <w:t xml:space="preserve">§4.5 (pp. 33–34); §5.4</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Alkadi (2024)</w:t>
            </w:r>
          </w:p>
        </w:tc>
        <w:tc>
          <w:tcPr>
            <w:tcW w:type="dxa" w:w="4433"/>
            <w:tcMar>
              <w:top w:type="dxa" w:w="60"/>
              <w:left w:type="dxa" w:w="90"/>
              <w:bottom w:type="dxa" w:w="60"/>
              <w:right w:type="dxa" w:w="90"/>
            </w:tcMar>
          </w:tcPr>
          <w:p>
            <w:pPr>
              <w:spacing w:after="40"/>
            </w:pPr>
            <w:r>
              <w:rPr>
                <w:sz w:val="18"/>
                <w:szCs w:val="18"/>
              </w:rPr>
              <w:t xml:space="preserve">A review of 62 green-sukuk studies: only four are quantitative, and pricing is the least-studied topic. This is your strongest evidence for the novelty claim.</w:t>
            </w:r>
          </w:p>
        </w:tc>
        <w:tc>
          <w:tcPr>
            <w:tcW w:type="dxa" w:w="1735"/>
            <w:tcMar>
              <w:top w:type="dxa" w:w="60"/>
              <w:left w:type="dxa" w:w="90"/>
              <w:bottom w:type="dxa" w:w="60"/>
              <w:right w:type="dxa" w:w="90"/>
            </w:tcMar>
          </w:tcPr>
          <w:p>
            <w:pPr>
              <w:spacing w:after="40"/>
            </w:pPr>
            <w:r>
              <w:rPr>
                <w:sz w:val="18"/>
                <w:szCs w:val="18"/>
              </w:rPr>
              <w:t xml:space="preserve">§5.8 (p. 88); Chapter 1</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Asmuni &amp; Tan (2020)</w:t>
            </w:r>
          </w:p>
        </w:tc>
        <w:tc>
          <w:tcPr>
            <w:tcW w:type="dxa" w:w="4433"/>
            <w:tcMar>
              <w:top w:type="dxa" w:w="60"/>
              <w:left w:type="dxa" w:w="90"/>
              <w:bottom w:type="dxa" w:w="60"/>
              <w:right w:type="dxa" w:w="90"/>
            </w:tcMar>
          </w:tcPr>
          <w:p>
            <w:pPr>
              <w:spacing w:after="40"/>
            </w:pPr>
            <w:r>
              <w:rPr>
                <w:sz w:val="18"/>
                <w:szCs w:val="18"/>
              </w:rPr>
              <w:t xml:space="preserve">Sovereign sukuk yield more than conventional bonds, mainly because they are less liquid. Several of your controls are sovereign sukuk, so the control leg may carry its own liquidity premium.</w:t>
            </w:r>
          </w:p>
        </w:tc>
        <w:tc>
          <w:tcPr>
            <w:tcW w:type="dxa" w:w="1735"/>
            <w:tcMar>
              <w:top w:type="dxa" w:w="60"/>
              <w:left w:type="dxa" w:w="90"/>
              <w:bottom w:type="dxa" w:w="60"/>
              <w:right w:type="dxa" w:w="90"/>
            </w:tcMar>
          </w:tcPr>
          <w:p>
            <w:pPr>
              <w:spacing w:after="40"/>
            </w:pPr>
            <w:r>
              <w:rPr>
                <w:sz w:val="18"/>
                <w:szCs w:val="18"/>
              </w:rPr>
              <w:t xml:space="preserve">§5.5 (pp. 85–86); determinants model</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Fandella &amp; Cociancich (2024)</w:t>
            </w:r>
          </w:p>
        </w:tc>
        <w:tc>
          <w:tcPr>
            <w:tcW w:type="dxa" w:w="4433"/>
            <w:tcMar>
              <w:top w:type="dxa" w:w="60"/>
              <w:left w:type="dxa" w:w="90"/>
              <w:bottom w:type="dxa" w:w="60"/>
              <w:right w:type="dxa" w:w="90"/>
            </w:tcMar>
          </w:tcPr>
          <w:p>
            <w:pPr>
              <w:spacing w:after="40"/>
            </w:pPr>
            <w:r>
              <w:rPr>
                <w:sz w:val="18"/>
                <w:szCs w:val="18"/>
              </w:rPr>
              <w:t xml:space="preserve">Controlling for liquidity flips the greenium from +38 bp to about −16 bp, and yield and Z-spread measures give different answers. This matches your own yield-versus-spread problem (MI-5).</w:t>
            </w:r>
          </w:p>
        </w:tc>
        <w:tc>
          <w:tcPr>
            <w:tcW w:type="dxa" w:w="1735"/>
            <w:tcMar>
              <w:top w:type="dxa" w:w="60"/>
              <w:left w:type="dxa" w:w="90"/>
              <w:bottom w:type="dxa" w:w="60"/>
              <w:right w:type="dxa" w:w="90"/>
            </w:tcMar>
          </w:tcPr>
          <w:p>
            <w:pPr>
              <w:spacing w:after="40"/>
            </w:pPr>
            <w:r>
              <w:rPr>
                <w:sz w:val="18"/>
                <w:szCs w:val="18"/>
              </w:rPr>
              <w:t xml:space="preserve">§4.6 (p. 38); §4.8 (pp. 44–45)</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Auzepy, Bannier &amp; Martin (2023); Oude Lansink &amp; Kapelko (2025)</w:t>
            </w:r>
          </w:p>
        </w:tc>
        <w:tc>
          <w:tcPr>
            <w:tcW w:type="dxa" w:w="4433"/>
            <w:tcMar>
              <w:top w:type="dxa" w:w="60"/>
              <w:left w:type="dxa" w:w="90"/>
              <w:bottom w:type="dxa" w:w="60"/>
              <w:right w:type="dxa" w:w="90"/>
            </w:tcMar>
          </w:tcPr>
          <w:p>
            <w:pPr>
              <w:spacing w:after="40"/>
            </w:pPr>
            <w:r>
              <w:rPr>
                <w:sz w:val="18"/>
                <w:szCs w:val="18"/>
              </w:rPr>
              <w:t xml:space="preserve">Sustainability-linked loans and bonds show weak incentives and no clear pricing benefit. They place labelled sukuk in the wider family of labelled debt products.</w:t>
            </w:r>
          </w:p>
        </w:tc>
        <w:tc>
          <w:tcPr>
            <w:tcW w:type="dxa" w:w="1735"/>
            <w:tcMar>
              <w:top w:type="dxa" w:w="60"/>
              <w:left w:type="dxa" w:w="90"/>
              <w:bottom w:type="dxa" w:w="60"/>
              <w:right w:type="dxa" w:w="90"/>
            </w:tcMar>
          </w:tcPr>
          <w:p>
            <w:pPr>
              <w:spacing w:after="40"/>
            </w:pPr>
            <w:r>
              <w:rPr>
                <w:sz w:val="18"/>
                <w:szCs w:val="18"/>
              </w:rPr>
              <w:t xml:space="preserve">Chapter 2; §5.4</w:t>
            </w:r>
          </w:p>
        </w:tc>
        <w:tc>
          <w:tcPr>
            <w:tcW w:type="dxa" w:w="1157"/>
            <w:tcMar>
              <w:top w:type="dxa" w:w="60"/>
              <w:left w:type="dxa" w:w="90"/>
              <w:bottom w:type="dxa" w:w="60"/>
              <w:right w:type="dxa" w:w="90"/>
            </w:tcMar>
          </w:tcPr>
          <w:p>
            <w:pPr>
              <w:spacing w:after="40"/>
            </w:pPr>
            <w:r>
              <w:rPr>
                <w:sz w:val="18"/>
                <w:szCs w:val="18"/>
              </w:rPr>
              <w:t xml:space="preserve">Recommended</w:t>
            </w:r>
          </w:p>
        </w:tc>
      </w:tr>
    </w:tbl>
    <w:p>
      <w:pPr>
        <w:spacing w:after="60"/>
      </w:pPr>
    </w:p>
    <w:p>
      <w:pPr>
        <w:pStyle w:val="Heading2"/>
      </w:pPr>
      <w:r>
        <w:t xml:space="preserve">4.3 Objective (b): determinants and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1735"/>
        <w:gridCol w:w="1157"/>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4433"/>
            <w:shd w:fill="1F3864" w:color="auto" w:val="clear"/>
            <w:tcMar>
              <w:top w:type="dxa" w:w="60"/>
              <w:left w:type="dxa" w:w="90"/>
              <w:bottom w:type="dxa" w:w="60"/>
              <w:right w:type="dxa" w:w="90"/>
            </w:tcMar>
          </w:tcPr>
          <w:p>
            <w:pPr>
              <w:spacing w:after="40"/>
            </w:pPr>
            <w:r>
              <w:rPr>
                <w:b/>
                <w:bCs/>
                <w:color w:val="FFFFFF"/>
                <w:sz w:val="18"/>
                <w:szCs w:val="18"/>
              </w:rPr>
              <w:t xml:space="preserve">Why it matters for your study</w:t>
            </w:r>
          </w:p>
        </w:tc>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Where to use it</w:t>
            </w:r>
          </w:p>
        </w:tc>
        <w:tc>
          <w:tcPr>
            <w:tcW w:type="dxa" w:w="1157"/>
            <w:shd w:fill="1F3864" w:color="auto" w:val="clear"/>
            <w:tcMar>
              <w:top w:type="dxa" w:w="60"/>
              <w:left w:type="dxa" w:w="90"/>
              <w:bottom w:type="dxa" w:w="60"/>
              <w:right w:type="dxa" w:w="90"/>
            </w:tcMar>
          </w:tcPr>
          <w:p>
            <w:pPr>
              <w:spacing w:after="40"/>
            </w:pPr>
            <w:r>
              <w:rPr>
                <w:b/>
                <w:bCs/>
                <w:color w:val="FFFFFF"/>
                <w:sz w:val="18"/>
                <w:szCs w:val="18"/>
              </w:rPr>
              <w:t xml:space="preserve">Priority</w:t>
            </w:r>
          </w:p>
        </w:tc>
      </w:tr>
      <w:tr>
        <w:trPr>
          <w:cantSplit w:val="off"/>
        </w:trPr>
        <w:tc>
          <w:tcPr>
            <w:tcW w:type="dxa" w:w="2313"/>
            <w:tcMar>
              <w:top w:type="dxa" w:w="60"/>
              <w:left w:type="dxa" w:w="90"/>
              <w:bottom w:type="dxa" w:w="60"/>
              <w:right w:type="dxa" w:w="90"/>
            </w:tcMar>
          </w:tcPr>
          <w:p>
            <w:pPr>
              <w:spacing w:after="40"/>
            </w:pPr>
            <w:r>
              <w:rPr>
                <w:sz w:val="18"/>
                <w:szCs w:val="18"/>
              </w:rPr>
              <w:t xml:space="preserve">Oktavio &amp; Riyanti (2021)</w:t>
            </w:r>
          </w:p>
        </w:tc>
        <w:tc>
          <w:tcPr>
            <w:tcW w:type="dxa" w:w="4433"/>
            <w:tcMar>
              <w:top w:type="dxa" w:w="60"/>
              <w:left w:type="dxa" w:w="90"/>
              <w:bottom w:type="dxa" w:w="60"/>
              <w:right w:type="dxa" w:w="90"/>
            </w:tcMar>
          </w:tcPr>
          <w:p>
            <w:pPr>
              <w:spacing w:after="40"/>
            </w:pPr>
            <w:r>
              <w:rPr>
                <w:sz w:val="18"/>
                <w:szCs w:val="18"/>
              </w:rPr>
              <w:t xml:space="preserve">ASEAN green bonds: a two-step design (a fixed-effects panel to estimate the premium, then a cross-section to explain it) using only 42 bonds. They find rating, currency, size and maturity matter. It is a ready template for objective (b) and shows your 72 pairs are enough.</w:t>
            </w:r>
          </w:p>
        </w:tc>
        <w:tc>
          <w:tcPr>
            <w:tcW w:type="dxa" w:w="1735"/>
            <w:tcMar>
              <w:top w:type="dxa" w:w="60"/>
              <w:left w:type="dxa" w:w="90"/>
              <w:bottom w:type="dxa" w:w="60"/>
              <w:right w:type="dxa" w:w="90"/>
            </w:tcMar>
          </w:tcPr>
          <w:p>
            <w:pPr>
              <w:spacing w:after="40"/>
            </w:pPr>
            <w:r>
              <w:rPr>
                <w:sz w:val="18"/>
                <w:szCs w:val="18"/>
              </w:rPr>
              <w:t xml:space="preserve">New determinants chapter (MI-1); §3.13 (pp. 21–22)</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Mundlak (1978)</w:t>
            </w:r>
          </w:p>
        </w:tc>
        <w:tc>
          <w:tcPr>
            <w:tcW w:type="dxa" w:w="4433"/>
            <w:tcMar>
              <w:top w:type="dxa" w:w="60"/>
              <w:left w:type="dxa" w:w="90"/>
              <w:bottom w:type="dxa" w:w="60"/>
              <w:right w:type="dxa" w:w="90"/>
            </w:tcMar>
          </w:tcPr>
          <w:p>
            <w:pPr>
              <w:spacing w:after="40"/>
            </w:pPr>
            <w:r>
              <w:rPr>
                <w:sz w:val="18"/>
                <w:szCs w:val="18"/>
              </w:rPr>
              <w:t xml:space="preserve">Lets you estimate fixed pair characteristics and time-varying drivers in the same panel, by adding pair averages of the time-varying variables. This solves the problem in §3.13 that pair fixed effects absorb static covariates.</w:t>
            </w:r>
          </w:p>
        </w:tc>
        <w:tc>
          <w:tcPr>
            <w:tcW w:type="dxa" w:w="1735"/>
            <w:tcMar>
              <w:top w:type="dxa" w:w="60"/>
              <w:left w:type="dxa" w:w="90"/>
              <w:bottom w:type="dxa" w:w="60"/>
              <w:right w:type="dxa" w:w="90"/>
            </w:tcMar>
          </w:tcPr>
          <w:p>
            <w:pPr>
              <w:spacing w:after="40"/>
            </w:pPr>
            <w:r>
              <w:rPr>
                <w:sz w:val="18"/>
                <w:szCs w:val="18"/>
              </w:rPr>
              <w:t xml:space="preserve">Determinants chapter; §3.13</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Lai &amp; Lu (2026) [WP]</w:t>
            </w:r>
          </w:p>
        </w:tc>
        <w:tc>
          <w:tcPr>
            <w:tcW w:type="dxa" w:w="4433"/>
            <w:tcMar>
              <w:top w:type="dxa" w:w="60"/>
              <w:left w:type="dxa" w:w="90"/>
              <w:bottom w:type="dxa" w:w="60"/>
              <w:right w:type="dxa" w:w="90"/>
            </w:tcMar>
          </w:tcPr>
          <w:p>
            <w:pPr>
              <w:spacing w:after="40"/>
            </w:pPr>
            <w:r>
              <w:rPr>
                <w:sz w:val="18"/>
                <w:szCs w:val="18"/>
              </w:rPr>
              <w:t xml:space="preserve">Shows that matching biases the greenium </w:t>
            </w:r>
            <w:r>
              <w:rPr>
                <w:b/>
                <w:bCs/>
                <w:sz w:val="18"/>
                <w:szCs w:val="18"/>
              </w:rPr>
              <w:t xml:space="preserve">towards zero</w:t>
            </w:r>
            <w:r>
              <w:rPr>
                <w:sz w:val="18"/>
                <w:szCs w:val="18"/>
              </w:rPr>
              <w:t xml:space="preserve"> because of lost observations and poor balance, and proposes synthetic counterfactual bonds instead. This bears directly on your balance failure and on the size of your estimates.</w:t>
            </w:r>
          </w:p>
        </w:tc>
        <w:tc>
          <w:tcPr>
            <w:tcW w:type="dxa" w:w="1735"/>
            <w:tcMar>
              <w:top w:type="dxa" w:w="60"/>
              <w:left w:type="dxa" w:w="90"/>
              <w:bottom w:type="dxa" w:w="60"/>
              <w:right w:type="dxa" w:w="90"/>
            </w:tcMar>
          </w:tcPr>
          <w:p>
            <w:pPr>
              <w:spacing w:after="40"/>
            </w:pPr>
            <w:r>
              <w:rPr>
                <w:sz w:val="18"/>
                <w:szCs w:val="18"/>
              </w:rPr>
              <w:t xml:space="preserve">§3.6 (p. 12); §5.4</w:t>
            </w:r>
          </w:p>
        </w:tc>
        <w:tc>
          <w:tcPr>
            <w:tcW w:type="dxa" w:w="1157"/>
            <w:tcMar>
              <w:top w:type="dxa" w:w="60"/>
              <w:left w:type="dxa" w:w="90"/>
              <w:bottom w:type="dxa" w:w="60"/>
              <w:right w:type="dxa" w:w="90"/>
            </w:tcMar>
          </w:tcPr>
          <w:p>
            <w:pPr>
              <w:spacing w:after="40"/>
            </w:pPr>
            <w:r>
              <w:rPr>
                <w:sz w:val="18"/>
                <w:szCs w:val="18"/>
              </w:rPr>
              <w:t xml:space="preserve">Recommended</w:t>
            </w:r>
          </w:p>
        </w:tc>
      </w:tr>
    </w:tbl>
    <w:p>
      <w:pPr>
        <w:spacing w:after="60"/>
      </w:pPr>
    </w:p>
    <w:p>
      <w:pPr>
        <w:pStyle w:val="Heading2"/>
      </w:pPr>
      <w:r>
        <w:t xml:space="preserve">4.4 Methods and inference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1735"/>
        <w:gridCol w:w="1157"/>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4433"/>
            <w:shd w:fill="1F3864" w:color="auto" w:val="clear"/>
            <w:tcMar>
              <w:top w:type="dxa" w:w="60"/>
              <w:left w:type="dxa" w:w="90"/>
              <w:bottom w:type="dxa" w:w="60"/>
              <w:right w:type="dxa" w:w="90"/>
            </w:tcMar>
          </w:tcPr>
          <w:p>
            <w:pPr>
              <w:spacing w:after="40"/>
            </w:pPr>
            <w:r>
              <w:rPr>
                <w:b/>
                <w:bCs/>
                <w:color w:val="FFFFFF"/>
                <w:sz w:val="18"/>
                <w:szCs w:val="18"/>
              </w:rPr>
              <w:t xml:space="preserve">Why it matters for your study</w:t>
            </w:r>
          </w:p>
        </w:tc>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Where to use it</w:t>
            </w:r>
          </w:p>
        </w:tc>
        <w:tc>
          <w:tcPr>
            <w:tcW w:type="dxa" w:w="1157"/>
            <w:shd w:fill="1F3864" w:color="auto" w:val="clear"/>
            <w:tcMar>
              <w:top w:type="dxa" w:w="60"/>
              <w:left w:type="dxa" w:w="90"/>
              <w:bottom w:type="dxa" w:w="60"/>
              <w:right w:type="dxa" w:w="90"/>
            </w:tcMar>
          </w:tcPr>
          <w:p>
            <w:pPr>
              <w:spacing w:after="40"/>
            </w:pPr>
            <w:r>
              <w:rPr>
                <w:b/>
                <w:bCs/>
                <w:color w:val="FFFFFF"/>
                <w:sz w:val="18"/>
                <w:szCs w:val="18"/>
              </w:rPr>
              <w:t xml:space="preserve">Priority</w:t>
            </w:r>
          </w:p>
        </w:tc>
      </w:tr>
      <w:tr>
        <w:trPr>
          <w:cantSplit w:val="off"/>
        </w:trPr>
        <w:tc>
          <w:tcPr>
            <w:tcW w:type="dxa" w:w="2313"/>
            <w:tcMar>
              <w:top w:type="dxa" w:w="60"/>
              <w:left w:type="dxa" w:w="90"/>
              <w:bottom w:type="dxa" w:w="60"/>
              <w:right w:type="dxa" w:w="90"/>
            </w:tcMar>
          </w:tcPr>
          <w:p>
            <w:pPr>
              <w:spacing w:after="40"/>
            </w:pPr>
            <w:r>
              <w:rPr>
                <w:sz w:val="18"/>
                <w:szCs w:val="18"/>
              </w:rPr>
              <w:t xml:space="preserve">Abadie &amp; Imbens (2011)</w:t>
            </w:r>
          </w:p>
        </w:tc>
        <w:tc>
          <w:tcPr>
            <w:tcW w:type="dxa" w:w="4433"/>
            <w:tcMar>
              <w:top w:type="dxa" w:w="60"/>
              <w:left w:type="dxa" w:w="90"/>
              <w:bottom w:type="dxa" w:w="60"/>
              <w:right w:type="dxa" w:w="90"/>
            </w:tcMar>
          </w:tcPr>
          <w:p>
            <w:pPr>
              <w:spacing w:after="40"/>
            </w:pPr>
            <w:r>
              <w:rPr>
                <w:sz w:val="18"/>
                <w:szCs w:val="18"/>
              </w:rPr>
              <w:t xml:space="preserve">The standard bias correction for matching estimators when balance is imperfect. Your balance target is missed on every variable.</w:t>
            </w:r>
          </w:p>
        </w:tc>
        <w:tc>
          <w:tcPr>
            <w:tcW w:type="dxa" w:w="1735"/>
            <w:tcMar>
              <w:top w:type="dxa" w:w="60"/>
              <w:left w:type="dxa" w:w="90"/>
              <w:bottom w:type="dxa" w:w="60"/>
              <w:right w:type="dxa" w:w="90"/>
            </w:tcMar>
          </w:tcPr>
          <w:p>
            <w:pPr>
              <w:spacing w:after="40"/>
            </w:pPr>
            <w:r>
              <w:rPr>
                <w:sz w:val="18"/>
                <w:szCs w:val="18"/>
              </w:rPr>
              <w:t xml:space="preserve">§3.6 (p. 12)</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Stuart (2010)</w:t>
            </w:r>
          </w:p>
        </w:tc>
        <w:tc>
          <w:tcPr>
            <w:tcW w:type="dxa" w:w="4433"/>
            <w:tcMar>
              <w:top w:type="dxa" w:w="60"/>
              <w:left w:type="dxa" w:w="90"/>
              <w:bottom w:type="dxa" w:w="60"/>
              <w:right w:type="dxa" w:w="90"/>
            </w:tcMar>
          </w:tcPr>
          <w:p>
            <w:pPr>
              <w:spacing w:after="40"/>
            </w:pPr>
            <w:r>
              <w:rPr>
                <w:sz w:val="18"/>
                <w:szCs w:val="18"/>
              </w:rPr>
              <w:t xml:space="preserve">The main review of matching methods, including balance and overlap checks. Examiners will expect it alongside Austin (2009).</w:t>
            </w:r>
          </w:p>
        </w:tc>
        <w:tc>
          <w:tcPr>
            <w:tcW w:type="dxa" w:w="1735"/>
            <w:tcMar>
              <w:top w:type="dxa" w:w="60"/>
              <w:left w:type="dxa" w:w="90"/>
              <w:bottom w:type="dxa" w:w="60"/>
              <w:right w:type="dxa" w:w="90"/>
            </w:tcMar>
          </w:tcPr>
          <w:p>
            <w:pPr>
              <w:spacing w:after="40"/>
            </w:pPr>
            <w:r>
              <w:rPr>
                <w:sz w:val="18"/>
                <w:szCs w:val="18"/>
              </w:rPr>
              <w:t xml:space="preserve">§3.5–3.6 (pp. 9–13)</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Solon, Haider &amp; Wooldridge (2015); Abadie, Athey, Imbens &amp; Wooldridge (2023)</w:t>
            </w:r>
          </w:p>
        </w:tc>
        <w:tc>
          <w:tcPr>
            <w:tcW w:type="dxa" w:w="4433"/>
            <w:tcMar>
              <w:top w:type="dxa" w:w="60"/>
              <w:left w:type="dxa" w:w="90"/>
              <w:bottom w:type="dxa" w:w="60"/>
              <w:right w:type="dxa" w:w="90"/>
            </w:tcMar>
          </w:tcPr>
          <w:p>
            <w:pPr>
              <w:spacing w:after="40"/>
            </w:pPr>
            <w:r>
              <w:rPr>
                <w:sz w:val="18"/>
                <w:szCs w:val="18"/>
              </w:rPr>
              <w:t xml:space="preserve">The established papers on weighting and clustering. Your §3.2 argument and your §5.9 “methodological contribution” should cite them.</w:t>
            </w:r>
          </w:p>
        </w:tc>
        <w:tc>
          <w:tcPr>
            <w:tcW w:type="dxa" w:w="1735"/>
            <w:tcMar>
              <w:top w:type="dxa" w:w="60"/>
              <w:left w:type="dxa" w:w="90"/>
              <w:bottom w:type="dxa" w:w="60"/>
              <w:right w:type="dxa" w:w="90"/>
            </w:tcMar>
          </w:tcPr>
          <w:p>
            <w:pPr>
              <w:spacing w:after="40"/>
            </w:pPr>
            <w:r>
              <w:rPr>
                <w:sz w:val="18"/>
                <w:szCs w:val="18"/>
              </w:rPr>
              <w:t xml:space="preserve">§3.2 (pp. 4–7); §5.9 (pp. 89–90)</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Simmons, Nelson &amp; Simonsohn (2011); Harvey (2017)</w:t>
            </w:r>
          </w:p>
        </w:tc>
        <w:tc>
          <w:tcPr>
            <w:tcW w:type="dxa" w:w="4433"/>
            <w:tcMar>
              <w:top w:type="dxa" w:w="60"/>
              <w:left w:type="dxa" w:w="90"/>
              <w:bottom w:type="dxa" w:w="60"/>
              <w:right w:type="dxa" w:w="90"/>
            </w:tcMar>
          </w:tcPr>
          <w:p>
            <w:pPr>
              <w:spacing w:after="40"/>
            </w:pPr>
            <w:r>
              <w:rPr>
                <w:sz w:val="18"/>
                <w:szCs w:val="18"/>
              </w:rPr>
              <w:t xml:space="preserve">Show how flexible analysis choices and uncorrected multiple testing inflate false positives, with Harvey writing for finance. Needed when you explain your confirmatory framework (MI-3).</w:t>
            </w:r>
          </w:p>
        </w:tc>
        <w:tc>
          <w:tcPr>
            <w:tcW w:type="dxa" w:w="1735"/>
            <w:tcMar>
              <w:top w:type="dxa" w:w="60"/>
              <w:left w:type="dxa" w:w="90"/>
              <w:bottom w:type="dxa" w:w="60"/>
              <w:right w:type="dxa" w:w="90"/>
            </w:tcMar>
          </w:tcPr>
          <w:p>
            <w:pPr>
              <w:spacing w:after="40"/>
            </w:pPr>
            <w:r>
              <w:rPr>
                <w:sz w:val="18"/>
                <w:szCs w:val="18"/>
              </w:rPr>
              <w:t xml:space="preserve">§3.1 (p. 3); §3.10 (p. 18)</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Hoenig &amp; Heisey (2001)</w:t>
            </w:r>
          </w:p>
        </w:tc>
        <w:tc>
          <w:tcPr>
            <w:tcW w:type="dxa" w:w="4433"/>
            <w:tcMar>
              <w:top w:type="dxa" w:w="60"/>
              <w:left w:type="dxa" w:w="90"/>
              <w:bottom w:type="dxa" w:w="60"/>
              <w:right w:type="dxa" w:w="90"/>
            </w:tcMar>
          </w:tcPr>
          <w:p>
            <w:pPr>
              <w:spacing w:after="40"/>
            </w:pPr>
            <w:r>
              <w:rPr>
                <w:sz w:val="18"/>
                <w:szCs w:val="18"/>
              </w:rPr>
              <w:t xml:space="preserve">Explains why power computed after the data are seen adds little. Supports reporting detectable effects and confidence intervals instead.</w:t>
            </w:r>
          </w:p>
        </w:tc>
        <w:tc>
          <w:tcPr>
            <w:tcW w:type="dxa" w:w="1735"/>
            <w:tcMar>
              <w:top w:type="dxa" w:w="60"/>
              <w:left w:type="dxa" w:w="90"/>
              <w:bottom w:type="dxa" w:w="60"/>
              <w:right w:type="dxa" w:w="90"/>
            </w:tcMar>
          </w:tcPr>
          <w:p>
            <w:pPr>
              <w:spacing w:after="40"/>
            </w:pPr>
            <w:r>
              <w:rPr>
                <w:sz w:val="18"/>
                <w:szCs w:val="18"/>
              </w:rPr>
              <w:t xml:space="preserve">§3.9 (p. 17)</w:t>
            </w:r>
          </w:p>
        </w:tc>
        <w:tc>
          <w:tcPr>
            <w:tcW w:type="dxa" w:w="1157"/>
            <w:tcMar>
              <w:top w:type="dxa" w:w="60"/>
              <w:left w:type="dxa" w:w="90"/>
              <w:bottom w:type="dxa" w:w="60"/>
              <w:right w:type="dxa" w:w="90"/>
            </w:tcMar>
          </w:tcPr>
          <w:p>
            <w:pPr>
              <w:spacing w:after="40"/>
            </w:pPr>
            <w:r>
              <w:rPr>
                <w:sz w:val="18"/>
                <w:szCs w:val="18"/>
              </w:rPr>
              <w:t xml:space="preserve">Recommended</w:t>
            </w:r>
          </w:p>
        </w:tc>
      </w:tr>
    </w:tbl>
    <w:p>
      <w:pPr>
        <w:spacing w:after="60"/>
      </w:pPr>
    </w:p>
    <w:p>
      <w:pPr>
        <w:spacing w:after="120" w:line="276"/>
      </w:pPr>
      <w:r>
        <w:rPr>
          <w:b/>
          <w:bCs/>
        </w:rPr>
        <w:t xml:space="preserve">How to use these sources.</w:t>
      </w:r>
      <w:r>
        <w:t xml:space="preserve"> Do not add them as a list in the literature chapter. Use each one where it explains or challenges a specific result. For example: “Our labelled estimate turns positive after 2023, in line with the reversal of the corporate greenium documented by Wollny et al. (2026).” That is the kind of engagement examiners reward.</w:t>
      </w:r>
    </w:p>
    <w:p>
      <w:pPr>
        <w:pStyle w:val="Heading1"/>
      </w:pPr>
      <w:r>
        <w:t xml:space="preserve">Part 5. Recommended determinants model (objective b)</w:t>
      </w:r>
    </w:p>
    <w:p>
      <w:pPr>
        <w:spacing w:after="120" w:line="276"/>
      </w:pPr>
      <w:r>
        <w:t xml:space="preserve">This part sets out the model I suggest for MI-1. Keep it small and decide it before you run it.</w:t>
      </w:r>
    </w:p>
    <w:p>
      <w:pPr>
        <w:pStyle w:val="Heading2"/>
      </w:pPr>
      <w:r>
        <w:t xml:space="preserve">5.1 Method</w:t>
      </w:r>
    </w:p>
    <w:p>
      <w:pPr>
        <w:spacing w:after="120" w:line="276"/>
      </w:pPr>
      <w:r>
        <w:t xml:space="preserve">Use two steps. This follows Oktavio and Riyanti (2021), who estimate the premium first and then explain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337"/>
        <w:gridCol w:w="3373"/>
      </w:tblGrid>
      <w:tr>
        <w:trPr>
          <w:tblHeader/>
        </w:trPr>
        <w:tc>
          <w:tcPr>
            <w:tcW w:type="dxa" w:w="1928"/>
            <w:shd w:fill="1F3864" w:color="auto" w:val="clear"/>
            <w:tcMar>
              <w:top w:type="dxa" w:w="60"/>
              <w:left w:type="dxa" w:w="90"/>
              <w:bottom w:type="dxa" w:w="60"/>
              <w:right w:type="dxa" w:w="90"/>
            </w:tcMar>
          </w:tcPr>
          <w:p>
            <w:pPr>
              <w:spacing w:after="40"/>
            </w:pPr>
            <w:r>
              <w:rPr>
                <w:b/>
                <w:bCs/>
                <w:color w:val="FFFFFF"/>
                <w:sz w:val="18"/>
                <w:szCs w:val="18"/>
              </w:rPr>
              <w:t xml:space="preserve">Step</w:t>
            </w:r>
          </w:p>
        </w:tc>
        <w:tc>
          <w:tcPr>
            <w:tcW w:type="dxa" w:w="4337"/>
            <w:shd w:fill="1F3864" w:color="auto" w:val="clear"/>
            <w:tcMar>
              <w:top w:type="dxa" w:w="60"/>
              <w:left w:type="dxa" w:w="90"/>
              <w:bottom w:type="dxa" w:w="60"/>
              <w:right w:type="dxa" w:w="90"/>
            </w:tcMar>
          </w:tcPr>
          <w:p>
            <w:pPr>
              <w:spacing w:after="40"/>
            </w:pPr>
            <w:r>
              <w:rPr>
                <w:b/>
                <w:bCs/>
                <w:color w:val="FFFFFF"/>
                <w:sz w:val="18"/>
                <w:szCs w:val="18"/>
              </w:rPr>
              <w:t xml:space="preserve">Model</w:t>
            </w:r>
          </w:p>
        </w:tc>
        <w:tc>
          <w:tcPr>
            <w:tcW w:type="dxa" w:w="3373"/>
            <w:shd w:fill="1F3864" w:color="auto" w:val="clear"/>
            <w:tcMar>
              <w:top w:type="dxa" w:w="60"/>
              <w:left w:type="dxa" w:w="90"/>
              <w:bottom w:type="dxa" w:w="60"/>
              <w:right w:type="dxa" w:w="90"/>
            </w:tcMar>
          </w:tcPr>
          <w:p>
            <w:pPr>
              <w:spacing w:after="40"/>
            </w:pPr>
            <w:r>
              <w:rPr>
                <w:b/>
                <w:bCs/>
                <w:color w:val="FFFFFF"/>
                <w:sz w:val="18"/>
                <w:szCs w:val="18"/>
              </w:rPr>
              <w:t xml:space="preserve">What it answers</w:t>
            </w:r>
          </w:p>
        </w:tc>
      </w:tr>
      <w:tr>
        <w:trPr>
          <w:cantSplit w:val="off"/>
        </w:trPr>
        <w:tc>
          <w:tcPr>
            <w:tcW w:type="dxa" w:w="1928"/>
            <w:tcMar>
              <w:top w:type="dxa" w:w="60"/>
              <w:left w:type="dxa" w:w="90"/>
              <w:bottom w:type="dxa" w:w="60"/>
              <w:right w:type="dxa" w:w="90"/>
            </w:tcMar>
          </w:tcPr>
          <w:p>
            <w:pPr>
              <w:spacing w:after="40"/>
            </w:pPr>
            <w:r>
              <w:rPr>
                <w:sz w:val="18"/>
                <w:szCs w:val="18"/>
              </w:rPr>
              <w:t xml:space="preserve">1. Pair-level cross-section</w:t>
            </w:r>
          </w:p>
        </w:tc>
        <w:tc>
          <w:tcPr>
            <w:tcW w:type="dxa" w:w="4337"/>
            <w:tcMar>
              <w:top w:type="dxa" w:w="60"/>
              <w:left w:type="dxa" w:w="90"/>
              <w:bottom w:type="dxa" w:w="60"/>
              <w:right w:type="dxa" w:w="90"/>
            </w:tcMar>
          </w:tcPr>
          <w:p>
            <w:pPr>
              <w:spacing w:after="40"/>
            </w:pPr>
            <w:r>
              <w:rPr>
                <w:sz w:val="18"/>
                <w:szCs w:val="18"/>
              </w:rPr>
              <w:t xml:space="preserve">D̄g = α + class dummies + β′Zg + εg</w:t>
            </w:r>
          </w:p>
          <w:p>
            <w:pPr>
              <w:spacing w:after="40"/>
            </w:pPr>
            <w:r>
              <w:rPr>
                <w:sz w:val="18"/>
                <w:szCs w:val="18"/>
              </w:rPr>
              <w:t xml:space="preserve">D̄g = mean yield differential of pair g (bp), one value per pair.</w:t>
            </w:r>
          </w:p>
          <w:p>
            <w:pPr>
              <w:spacing w:after="40"/>
            </w:pPr>
            <w:r>
              <w:rPr>
                <w:sz w:val="18"/>
                <w:szCs w:val="18"/>
              </w:rPr>
              <w:t xml:space="preserve">Zg = gaps between the two legs that do not change over time.</w:t>
            </w:r>
          </w:p>
        </w:tc>
        <w:tc>
          <w:tcPr>
            <w:tcW w:type="dxa" w:w="3373"/>
            <w:tcMar>
              <w:top w:type="dxa" w:w="60"/>
              <w:left w:type="dxa" w:w="90"/>
              <w:bottom w:type="dxa" w:w="60"/>
              <w:right w:type="dxa" w:w="90"/>
            </w:tcMar>
          </w:tcPr>
          <w:p>
            <w:pPr>
              <w:spacing w:after="40"/>
            </w:pPr>
            <w:r>
              <w:rPr>
                <w:sz w:val="18"/>
                <w:szCs w:val="18"/>
              </w:rPr>
              <w:t xml:space="preserve">Which pair characteristics explain why some pairs have larger differentials.</w:t>
            </w:r>
          </w:p>
        </w:tc>
      </w:tr>
      <w:tr>
        <w:trPr>
          <w:cantSplit w:val="off"/>
        </w:trPr>
        <w:tc>
          <w:tcPr>
            <w:tcW w:type="dxa" w:w="1928"/>
            <w:tcMar>
              <w:top w:type="dxa" w:w="60"/>
              <w:left w:type="dxa" w:w="90"/>
              <w:bottom w:type="dxa" w:w="60"/>
              <w:right w:type="dxa" w:w="90"/>
            </w:tcMar>
          </w:tcPr>
          <w:p>
            <w:pPr>
              <w:spacing w:after="40"/>
            </w:pPr>
            <w:r>
              <w:rPr>
                <w:sz w:val="18"/>
                <w:szCs w:val="18"/>
              </w:rPr>
              <w:t xml:space="preserve">2. Within-pair panel</w:t>
            </w:r>
          </w:p>
        </w:tc>
        <w:tc>
          <w:tcPr>
            <w:tcW w:type="dxa" w:w="4337"/>
            <w:tcMar>
              <w:top w:type="dxa" w:w="60"/>
              <w:left w:type="dxa" w:w="90"/>
              <w:bottom w:type="dxa" w:w="60"/>
              <w:right w:type="dxa" w:w="90"/>
            </w:tcMar>
          </w:tcPr>
          <w:p>
            <w:pPr>
              <w:spacing w:after="40"/>
            </w:pPr>
            <w:r>
              <w:rPr>
                <w:sz w:val="18"/>
                <w:szCs w:val="18"/>
              </w:rPr>
              <w:t xml:space="preserve">Δg,t = αg + λt + δ′Xg,t + γ(AT1 × Stresst) + εg,t</w:t>
            </w:r>
          </w:p>
          <w:p>
            <w:pPr>
              <w:spacing w:after="40"/>
            </w:pPr>
            <w:r>
              <w:rPr>
                <w:sz w:val="18"/>
                <w:szCs w:val="18"/>
              </w:rPr>
              <w:t xml:space="preserve">αg = pair fixed effect; λt = month effect.</w:t>
            </w:r>
          </w:p>
          <w:p>
            <w:pPr>
              <w:spacing w:after="40"/>
            </w:pPr>
            <w:r>
              <w:rPr>
                <w:sz w:val="18"/>
                <w:szCs w:val="18"/>
              </w:rPr>
              <w:t xml:space="preserve">Xg,t = gaps that change over time.</w:t>
            </w:r>
          </w:p>
        </w:tc>
        <w:tc>
          <w:tcPr>
            <w:tcW w:type="dxa" w:w="3373"/>
            <w:tcMar>
              <w:top w:type="dxa" w:w="60"/>
              <w:left w:type="dxa" w:w="90"/>
              <w:bottom w:type="dxa" w:w="60"/>
              <w:right w:type="dxa" w:w="90"/>
            </w:tcMar>
          </w:tcPr>
          <w:p>
            <w:pPr>
              <w:spacing w:after="40"/>
            </w:pPr>
            <w:r>
              <w:rPr>
                <w:sz w:val="18"/>
                <w:szCs w:val="18"/>
              </w:rPr>
              <w:t xml:space="preserve">What makes a pair’s differential move over time.</w:t>
            </w:r>
          </w:p>
        </w:tc>
      </w:tr>
      <w:tr>
        <w:trPr>
          <w:cantSplit w:val="off"/>
        </w:trPr>
        <w:tc>
          <w:tcPr>
            <w:tcW w:type="dxa" w:w="1928"/>
            <w:tcMar>
              <w:top w:type="dxa" w:w="60"/>
              <w:left w:type="dxa" w:w="90"/>
              <w:bottom w:type="dxa" w:w="60"/>
              <w:right w:type="dxa" w:w="90"/>
            </w:tcMar>
          </w:tcPr>
          <w:p>
            <w:pPr>
              <w:spacing w:after="40"/>
            </w:pPr>
            <w:r>
              <w:rPr>
                <w:sz w:val="18"/>
                <w:szCs w:val="18"/>
              </w:rPr>
              <w:t xml:space="preserve">3. Combined (hybrid) panel</w:t>
            </w:r>
          </w:p>
        </w:tc>
        <w:tc>
          <w:tcPr>
            <w:tcW w:type="dxa" w:w="4337"/>
            <w:tcMar>
              <w:top w:type="dxa" w:w="60"/>
              <w:left w:type="dxa" w:w="90"/>
              <w:bottom w:type="dxa" w:w="60"/>
              <w:right w:type="dxa" w:w="90"/>
            </w:tcMar>
          </w:tcPr>
          <w:p>
            <w:pPr>
              <w:spacing w:after="40"/>
            </w:pPr>
            <w:r>
              <w:rPr>
                <w:sz w:val="18"/>
                <w:szCs w:val="18"/>
              </w:rPr>
              <w:t xml:space="preserve">Step 2 plus the pair averages of Xg,t and the fixed traits Zg (Mundlak, 1978).</w:t>
            </w:r>
          </w:p>
        </w:tc>
        <w:tc>
          <w:tcPr>
            <w:tcW w:type="dxa" w:w="3373"/>
            <w:tcMar>
              <w:top w:type="dxa" w:w="60"/>
              <w:left w:type="dxa" w:w="90"/>
              <w:bottom w:type="dxa" w:w="60"/>
              <w:right w:type="dxa" w:w="90"/>
            </w:tcMar>
          </w:tcPr>
          <w:p>
            <w:pPr>
              <w:spacing w:after="40"/>
            </w:pPr>
            <w:r>
              <w:rPr>
                <w:sz w:val="18"/>
                <w:szCs w:val="18"/>
              </w:rPr>
              <w:t xml:space="preserve">Estimates fixed traits and time-varying drivers in one model. This solves the problem in §3.13 (p. 22) that pair fixed effects absorb static variables.</w:t>
            </w:r>
          </w:p>
        </w:tc>
      </w:tr>
    </w:tbl>
    <w:p>
      <w:pPr>
        <w:spacing w:after="60"/>
      </w:pPr>
    </w:p>
    <w:p>
      <w:pPr>
        <w:pStyle w:val="ListParagraph"/>
        <w:numPr>
          <w:ilvl w:val="0"/>
          <w:numId w:val="2"/>
        </w:numPr>
        <w:spacing w:after="80" w:line="264"/>
      </w:pPr>
      <w:r>
        <w:rPr>
          <w:b/>
          <w:bCs/>
        </w:rPr>
        <w:t xml:space="preserve">Inference:</w:t>
      </w:r>
      <w:r>
        <w:t xml:space="preserve"> wild cluster bootstrap, clustered by issuer group, not by pair (Cameron, Gelbach &amp; Miller, 2008; MacKinnon &amp; Webb, 2017). Pairs that share an issuer are not independent.</w:t>
      </w:r>
    </w:p>
    <w:p>
      <w:pPr>
        <w:pStyle w:val="ListParagraph"/>
        <w:numPr>
          <w:ilvl w:val="0"/>
          <w:numId w:val="2"/>
        </w:numPr>
        <w:spacing w:after="80" w:line="264"/>
      </w:pPr>
      <w:r>
        <w:rPr>
          <w:b/>
          <w:bCs/>
        </w:rPr>
        <w:t xml:space="preserve">Size:</w:t>
      </w:r>
      <w:r>
        <w:t xml:space="preserve"> limit Step 1 to about five regressors (roughly ten pairs per regressor), and Step 2 to two to four. Pool all classes, and use class interactions only for the key variables.</w:t>
      </w:r>
    </w:p>
    <w:p>
      <w:pPr>
        <w:pStyle w:val="ListParagraph"/>
        <w:numPr>
          <w:ilvl w:val="0"/>
          <w:numId w:val="2"/>
        </w:numPr>
        <w:spacing w:after="80" w:line="264"/>
      </w:pPr>
      <w:r>
        <w:rPr>
          <w:b/>
          <w:bCs/>
        </w:rPr>
        <w:t xml:space="preserve">Checks:</w:t>
      </w:r>
      <w:r>
        <w:t xml:space="preserve"> run the model with and without the Turkish lines and the Indonesian sovereign pairs, and on both horizons.</w:t>
      </w:r>
    </w:p>
    <w:p>
      <w:pPr>
        <w:pStyle w:val="Heading2"/>
      </w:pPr>
      <w:r>
        <w:t xml:space="preserve">5.2 Current sample size (from your draft)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3085"/>
      </w:tblGrid>
      <w:tr>
        <w:trPr>
          <w:tblHeader/>
        </w:trPr>
        <w:tc>
          <w:tcPr>
            <w:tcW w:type="dxa" w:w="2891"/>
            <w:shd w:fill="1F3864" w:color="auto" w:val="clear"/>
            <w:tcMar>
              <w:top w:type="dxa" w:w="60"/>
              <w:left w:type="dxa" w:w="90"/>
              <w:bottom w:type="dxa" w:w="60"/>
              <w:right w:type="dxa" w:w="90"/>
            </w:tcMar>
          </w:tcPr>
          <w:p>
            <w:pPr>
              <w:spacing w:after="40"/>
            </w:pPr>
            <w:r>
              <w:rPr>
                <w:b/>
                <w:bCs/>
                <w:color w:val="FFFFFF"/>
                <w:sz w:val="18"/>
                <w:szCs w:val="18"/>
              </w:rPr>
              <w:t xml:space="preserve">Item</w:t>
            </w:r>
          </w:p>
        </w:tc>
        <w:tc>
          <w:tcPr>
            <w:tcW w:type="dxa" w:w="3662"/>
            <w:shd w:fill="1F3864" w:color="auto" w:val="clear"/>
            <w:tcMar>
              <w:top w:type="dxa" w:w="60"/>
              <w:left w:type="dxa" w:w="90"/>
              <w:bottom w:type="dxa" w:w="60"/>
              <w:right w:type="dxa" w:w="90"/>
            </w:tcMar>
          </w:tcPr>
          <w:p>
            <w:pPr>
              <w:spacing w:after="40"/>
            </w:pPr>
            <w:r>
              <w:rPr>
                <w:b/>
                <w:bCs/>
                <w:color w:val="FFFFFF"/>
                <w:sz w:val="18"/>
                <w:szCs w:val="18"/>
              </w:rPr>
              <w:t xml:space="preserve">Size</w:t>
            </w:r>
          </w:p>
        </w:tc>
        <w:tc>
          <w:tcPr>
            <w:tcW w:type="dxa" w:w="3085"/>
            <w:shd w:fill="1F3864" w:color="auto" w:val="clear"/>
            <w:tcMar>
              <w:top w:type="dxa" w:w="60"/>
              <w:left w:type="dxa" w:w="90"/>
              <w:bottom w:type="dxa" w:w="60"/>
              <w:right w:type="dxa" w:w="90"/>
            </w:tcMar>
          </w:tcPr>
          <w:p>
            <w:pPr>
              <w:spacing w:after="40"/>
            </w:pPr>
            <w:r>
              <w:rPr>
                <w:b/>
                <w:bCs/>
                <w:color w:val="FFFFFF"/>
                <w:sz w:val="18"/>
                <w:szCs w:val="18"/>
              </w:rPr>
              <w:t xml:space="preserve">Where in the draft</w:t>
            </w:r>
          </w:p>
        </w:tc>
      </w:tr>
      <w:tr>
        <w:trPr>
          <w:cantSplit w:val="off"/>
        </w:trPr>
        <w:tc>
          <w:tcPr>
            <w:tcW w:type="dxa" w:w="2891"/>
            <w:tcMar>
              <w:top w:type="dxa" w:w="60"/>
              <w:left w:type="dxa" w:w="90"/>
              <w:bottom w:type="dxa" w:w="60"/>
              <w:right w:type="dxa" w:w="90"/>
            </w:tcMar>
          </w:tcPr>
          <w:p>
            <w:pPr>
              <w:spacing w:after="40"/>
            </w:pPr>
            <w:r>
              <w:rPr>
                <w:sz w:val="18"/>
                <w:szCs w:val="18"/>
              </w:rPr>
              <w:t xml:space="preserve">Matched pairs, full horizon</w:t>
            </w:r>
          </w:p>
        </w:tc>
        <w:tc>
          <w:tcPr>
            <w:tcW w:type="dxa" w:w="3662"/>
            <w:tcMar>
              <w:top w:type="dxa" w:w="60"/>
              <w:left w:type="dxa" w:w="90"/>
              <w:bottom w:type="dxa" w:w="60"/>
              <w:right w:type="dxa" w:w="90"/>
            </w:tcMar>
          </w:tcPr>
          <w:p>
            <w:pPr>
              <w:spacing w:after="40"/>
            </w:pPr>
            <w:r>
              <w:rPr>
                <w:sz w:val="18"/>
                <w:szCs w:val="18"/>
              </w:rPr>
              <w:t xml:space="preserve">72 (17 callable, 25 AT1, 30 labelled)</w:t>
            </w:r>
          </w:p>
        </w:tc>
        <w:tc>
          <w:tcPr>
            <w:tcW w:type="dxa" w:w="3085"/>
            <w:tcMar>
              <w:top w:type="dxa" w:w="60"/>
              <w:left w:type="dxa" w:w="90"/>
              <w:bottom w:type="dxa" w:w="60"/>
              <w:right w:type="dxa" w:w="90"/>
            </w:tcMar>
          </w:tcPr>
          <w:p>
            <w:pPr>
              <w:spacing w:after="40"/>
            </w:pPr>
            <w:r>
              <w:rPr>
                <w:sz w:val="18"/>
                <w:szCs w:val="18"/>
              </w:rPr>
              <w:t xml:space="preserve">§3.16, p. 27; §4.2, p. 30; Table 4.1, p. 35</w:t>
            </w:r>
          </w:p>
        </w:tc>
      </w:tr>
      <w:tr>
        <w:trPr>
          <w:cantSplit w:val="off"/>
        </w:trPr>
        <w:tc>
          <w:tcPr>
            <w:tcW w:type="dxa" w:w="2891"/>
            <w:tcMar>
              <w:top w:type="dxa" w:w="60"/>
              <w:left w:type="dxa" w:w="90"/>
              <w:bottom w:type="dxa" w:w="60"/>
              <w:right w:type="dxa" w:w="90"/>
            </w:tcMar>
          </w:tcPr>
          <w:p>
            <w:pPr>
              <w:spacing w:after="40"/>
            </w:pPr>
            <w:r>
              <w:rPr>
                <w:sz w:val="18"/>
                <w:szCs w:val="18"/>
              </w:rPr>
              <w:t xml:space="preserve">Matched pairs, pre-specified window</w:t>
            </w:r>
          </w:p>
        </w:tc>
        <w:tc>
          <w:tcPr>
            <w:tcW w:type="dxa" w:w="3662"/>
            <w:tcMar>
              <w:top w:type="dxa" w:w="60"/>
              <w:left w:type="dxa" w:w="90"/>
              <w:bottom w:type="dxa" w:w="60"/>
              <w:right w:type="dxa" w:w="90"/>
            </w:tcMar>
          </w:tcPr>
          <w:p>
            <w:pPr>
              <w:spacing w:after="40"/>
            </w:pPr>
            <w:r>
              <w:rPr>
                <w:sz w:val="18"/>
                <w:szCs w:val="18"/>
              </w:rPr>
              <w:t xml:space="preserve">15 callable, 21 AT1, 25 labelled</w:t>
            </w:r>
          </w:p>
        </w:tc>
        <w:tc>
          <w:tcPr>
            <w:tcW w:type="dxa" w:w="3085"/>
            <w:tcMar>
              <w:top w:type="dxa" w:w="60"/>
              <w:left w:type="dxa" w:w="90"/>
              <w:bottom w:type="dxa" w:w="60"/>
              <w:right w:type="dxa" w:w="90"/>
            </w:tcMar>
          </w:tcPr>
          <w:p>
            <w:pPr>
              <w:spacing w:after="40"/>
            </w:pPr>
            <w:r>
              <w:rPr>
                <w:sz w:val="18"/>
                <w:szCs w:val="18"/>
              </w:rPr>
              <w:t xml:space="preserve">Table 4.1, p. 35. Note: §4.2 (p. 30) says 23 AT1 pairs; please reconcile.</w:t>
            </w:r>
          </w:p>
        </w:tc>
      </w:tr>
      <w:tr>
        <w:trPr>
          <w:cantSplit w:val="off"/>
        </w:trPr>
        <w:tc>
          <w:tcPr>
            <w:tcW w:type="dxa" w:w="2891"/>
            <w:tcMar>
              <w:top w:type="dxa" w:w="60"/>
              <w:left w:type="dxa" w:w="90"/>
              <w:bottom w:type="dxa" w:w="60"/>
              <w:right w:type="dxa" w:w="90"/>
            </w:tcMar>
          </w:tcPr>
          <w:p>
            <w:pPr>
              <w:spacing w:after="40"/>
            </w:pPr>
            <w:r>
              <w:rPr>
                <w:sz w:val="18"/>
                <w:szCs w:val="18"/>
              </w:rPr>
              <w:t xml:space="preserve">Pair-months</w:t>
            </w:r>
          </w:p>
        </w:tc>
        <w:tc>
          <w:tcPr>
            <w:tcW w:type="dxa" w:w="3662"/>
            <w:tcMar>
              <w:top w:type="dxa" w:w="60"/>
              <w:left w:type="dxa" w:w="90"/>
              <w:bottom w:type="dxa" w:w="60"/>
              <w:right w:type="dxa" w:w="90"/>
            </w:tcMar>
          </w:tcPr>
          <w:p>
            <w:pPr>
              <w:spacing w:after="40"/>
            </w:pPr>
            <w:r>
              <w:rPr>
                <w:sz w:val="18"/>
                <w:szCs w:val="18"/>
              </w:rPr>
              <w:t xml:space="preserve">1,896 full horizon; 1,122 window</w:t>
            </w:r>
          </w:p>
        </w:tc>
        <w:tc>
          <w:tcPr>
            <w:tcW w:type="dxa" w:w="3085"/>
            <w:tcMar>
              <w:top w:type="dxa" w:w="60"/>
              <w:left w:type="dxa" w:w="90"/>
              <w:bottom w:type="dxa" w:w="60"/>
              <w:right w:type="dxa" w:w="90"/>
            </w:tcMar>
          </w:tcPr>
          <w:p>
            <w:pPr>
              <w:spacing w:after="40"/>
            </w:pPr>
            <w:r>
              <w:rPr>
                <w:sz w:val="18"/>
                <w:szCs w:val="18"/>
              </w:rPr>
              <w:t xml:space="preserve">§3.16, p. 27</w:t>
            </w:r>
          </w:p>
        </w:tc>
      </w:tr>
      <w:tr>
        <w:trPr>
          <w:cantSplit w:val="off"/>
        </w:trPr>
        <w:tc>
          <w:tcPr>
            <w:tcW w:type="dxa" w:w="2891"/>
            <w:tcMar>
              <w:top w:type="dxa" w:w="60"/>
              <w:left w:type="dxa" w:w="90"/>
              <w:bottom w:type="dxa" w:w="60"/>
              <w:right w:type="dxa" w:w="90"/>
            </w:tcMar>
          </w:tcPr>
          <w:p>
            <w:pPr>
              <w:spacing w:after="40"/>
            </w:pPr>
            <w:r>
              <w:rPr>
                <w:sz w:val="18"/>
                <w:szCs w:val="18"/>
              </w:rPr>
              <w:t xml:space="preserve">Independent issuer groups</w:t>
            </w:r>
          </w:p>
        </w:tc>
        <w:tc>
          <w:tcPr>
            <w:tcW w:type="dxa" w:w="3662"/>
            <w:tcMar>
              <w:top w:type="dxa" w:w="60"/>
              <w:left w:type="dxa" w:w="90"/>
              <w:bottom w:type="dxa" w:w="60"/>
              <w:right w:type="dxa" w:w="90"/>
            </w:tcMar>
          </w:tcPr>
          <w:p>
            <w:pPr>
              <w:spacing w:after="40"/>
            </w:pPr>
            <w:r>
              <w:rPr>
                <w:sz w:val="18"/>
                <w:szCs w:val="18"/>
              </w:rPr>
              <w:t xml:space="preserve">20 structural + 10 labelled = 30</w:t>
            </w:r>
          </w:p>
        </w:tc>
        <w:tc>
          <w:tcPr>
            <w:tcW w:type="dxa" w:w="3085"/>
            <w:tcMar>
              <w:top w:type="dxa" w:w="60"/>
              <w:left w:type="dxa" w:w="90"/>
              <w:bottom w:type="dxa" w:w="60"/>
              <w:right w:type="dxa" w:w="90"/>
            </w:tcMar>
          </w:tcPr>
          <w:p>
            <w:pPr>
              <w:spacing w:after="40"/>
            </w:pPr>
            <w:r>
              <w:rPr>
                <w:sz w:val="18"/>
                <w:szCs w:val="18"/>
              </w:rPr>
              <w:t xml:space="preserve">§4.2, p. 30</w:t>
            </w:r>
          </w:p>
        </w:tc>
      </w:tr>
      <w:tr>
        <w:trPr>
          <w:cantSplit w:val="off"/>
        </w:trPr>
        <w:tc>
          <w:tcPr>
            <w:tcW w:type="dxa" w:w="2891"/>
            <w:tcMar>
              <w:top w:type="dxa" w:w="60"/>
              <w:left w:type="dxa" w:w="90"/>
              <w:bottom w:type="dxa" w:w="60"/>
              <w:right w:type="dxa" w:w="90"/>
            </w:tcMar>
          </w:tcPr>
          <w:p>
            <w:pPr>
              <w:spacing w:after="40"/>
            </w:pPr>
            <w:r>
              <w:rPr>
                <w:sz w:val="18"/>
                <w:szCs w:val="18"/>
              </w:rPr>
              <w:t xml:space="preserve">Security-level panel</w:t>
            </w:r>
          </w:p>
        </w:tc>
        <w:tc>
          <w:tcPr>
            <w:tcW w:type="dxa" w:w="3662"/>
            <w:tcMar>
              <w:top w:type="dxa" w:w="60"/>
              <w:left w:type="dxa" w:w="90"/>
              <w:bottom w:type="dxa" w:w="60"/>
              <w:right w:type="dxa" w:w="90"/>
            </w:tcMar>
          </w:tcPr>
          <w:p>
            <w:pPr>
              <w:spacing w:after="40"/>
            </w:pPr>
            <w:r>
              <w:rPr>
                <w:sz w:val="18"/>
                <w:szCs w:val="18"/>
              </w:rPr>
              <w:t xml:space="preserve">283 securities; 8,284 security-months</w:t>
            </w:r>
          </w:p>
        </w:tc>
        <w:tc>
          <w:tcPr>
            <w:tcW w:type="dxa" w:w="3085"/>
            <w:tcMar>
              <w:top w:type="dxa" w:w="60"/>
              <w:left w:type="dxa" w:w="90"/>
              <w:bottom w:type="dxa" w:w="60"/>
              <w:right w:type="dxa" w:w="90"/>
            </w:tcMar>
          </w:tcPr>
          <w:p>
            <w:pPr>
              <w:spacing w:after="40"/>
            </w:pPr>
            <w:r>
              <w:rPr>
                <w:sz w:val="18"/>
                <w:szCs w:val="18"/>
              </w:rPr>
              <w:t xml:space="preserve">§3.16, p. 28</w:t>
            </w:r>
          </w:p>
        </w:tc>
      </w:tr>
      <w:tr>
        <w:trPr>
          <w:cantSplit w:val="off"/>
        </w:trPr>
        <w:tc>
          <w:tcPr>
            <w:tcW w:type="dxa" w:w="2891"/>
            <w:tcMar>
              <w:top w:type="dxa" w:w="60"/>
              <w:left w:type="dxa" w:w="90"/>
              <w:bottom w:type="dxa" w:w="60"/>
              <w:right w:type="dxa" w:w="90"/>
            </w:tcMar>
          </w:tcPr>
          <w:p>
            <w:pPr>
              <w:spacing w:after="40"/>
            </w:pPr>
            <w:r>
              <w:rPr>
                <w:sz w:val="18"/>
                <w:szCs w:val="18"/>
              </w:rPr>
              <w:t xml:space="preserve">Time-varying covariates available</w:t>
            </w:r>
          </w:p>
        </w:tc>
        <w:tc>
          <w:tcPr>
            <w:tcW w:type="dxa" w:w="3662"/>
            <w:tcMar>
              <w:top w:type="dxa" w:w="60"/>
              <w:left w:type="dxa" w:w="90"/>
              <w:bottom w:type="dxa" w:w="60"/>
              <w:right w:type="dxa" w:w="90"/>
            </w:tcMar>
          </w:tcPr>
          <w:p>
            <w:pPr>
              <w:spacing w:after="40"/>
            </w:pPr>
            <w:r>
              <w:rPr>
                <w:sz w:val="18"/>
                <w:szCs w:val="18"/>
              </w:rPr>
              <w:t xml:space="preserve">Quoted spreads for 128 of 130 legs; option-adjusted spreads for all 130 legs; quarter-end liquidity scores from Sep 2022 only; no rating history</w:t>
            </w:r>
          </w:p>
        </w:tc>
        <w:tc>
          <w:tcPr>
            <w:tcW w:type="dxa" w:w="3085"/>
            <w:tcMar>
              <w:top w:type="dxa" w:w="60"/>
              <w:left w:type="dxa" w:w="90"/>
              <w:bottom w:type="dxa" w:w="60"/>
              <w:right w:type="dxa" w:w="90"/>
            </w:tcMar>
          </w:tcPr>
          <w:p>
            <w:pPr>
              <w:spacing w:after="40"/>
            </w:pPr>
            <w:r>
              <w:rPr>
                <w:sz w:val="18"/>
                <w:szCs w:val="18"/>
              </w:rPr>
              <w:t xml:space="preserve">§4.8, pp. 44–45; §3.13, p. 21; App. D.4, pp. 111–112</w:t>
            </w:r>
          </w:p>
        </w:tc>
      </w:tr>
      <w:tr>
        <w:trPr>
          <w:cantSplit w:val="off"/>
        </w:trPr>
        <w:tc>
          <w:tcPr>
            <w:tcW w:type="dxa" w:w="2891"/>
            <w:tcMar>
              <w:top w:type="dxa" w:w="60"/>
              <w:left w:type="dxa" w:w="90"/>
              <w:bottom w:type="dxa" w:w="60"/>
              <w:right w:type="dxa" w:w="90"/>
            </w:tcMar>
          </w:tcPr>
          <w:p>
            <w:pPr>
              <w:spacing w:after="40"/>
            </w:pPr>
            <w:r>
              <w:rPr>
                <w:sz w:val="18"/>
                <w:szCs w:val="18"/>
              </w:rPr>
              <w:t xml:space="preserve">Current determinants work</w:t>
            </w:r>
          </w:p>
        </w:tc>
        <w:tc>
          <w:tcPr>
            <w:tcW w:type="dxa" w:w="3662"/>
            <w:tcMar>
              <w:top w:type="dxa" w:w="60"/>
              <w:left w:type="dxa" w:w="90"/>
              <w:bottom w:type="dxa" w:w="60"/>
              <w:right w:type="dxa" w:w="90"/>
            </w:tcMar>
          </w:tcPr>
          <w:p>
            <w:pPr>
              <w:spacing w:after="40"/>
            </w:pPr>
            <w:r>
              <w:rPr>
                <w:sz w:val="18"/>
                <w:szCs w:val="18"/>
              </w:rPr>
              <w:t xml:space="preserve">15 callable pairs, 5 parameters, 10 residual degrees of freedom (exploratory only)</w:t>
            </w:r>
          </w:p>
        </w:tc>
        <w:tc>
          <w:tcPr>
            <w:tcW w:type="dxa" w:w="3085"/>
            <w:tcMar>
              <w:top w:type="dxa" w:w="60"/>
              <w:left w:type="dxa" w:w="90"/>
              <w:bottom w:type="dxa" w:w="60"/>
              <w:right w:type="dxa" w:w="90"/>
            </w:tcMar>
          </w:tcPr>
          <w:p>
            <w:pPr>
              <w:spacing w:after="40"/>
            </w:pPr>
            <w:r>
              <w:rPr>
                <w:sz w:val="18"/>
                <w:szCs w:val="18"/>
              </w:rPr>
              <w:t xml:space="preserve">§3.13, p. 22; App. C.3, p. 108</w:t>
            </w:r>
          </w:p>
        </w:tc>
      </w:tr>
    </w:tbl>
    <w:p>
      <w:pPr>
        <w:spacing w:after="60"/>
      </w:pPr>
    </w:p>
    <w:p>
      <w:pPr>
        <w:pStyle w:val="Heading2"/>
      </w:pPr>
      <w:r>
        <w:t xml:space="preserve">5.3 Is the sample eligible? Comparison with past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2120"/>
        <w:gridCol w:w="2314"/>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Study</w:t>
            </w:r>
          </w:p>
        </w:tc>
        <w:tc>
          <w:tcPr>
            <w:tcW w:type="dxa" w:w="2891"/>
            <w:shd w:fill="1F3864" w:color="auto" w:val="clear"/>
            <w:tcMar>
              <w:top w:type="dxa" w:w="60"/>
              <w:left w:type="dxa" w:w="90"/>
              <w:bottom w:type="dxa" w:w="60"/>
              <w:right w:type="dxa" w:w="90"/>
            </w:tcMar>
          </w:tcPr>
          <w:p>
            <w:pPr>
              <w:spacing w:after="40"/>
            </w:pPr>
            <w:r>
              <w:rPr>
                <w:b/>
                <w:bCs/>
                <w:color w:val="FFFFFF"/>
                <w:sz w:val="18"/>
                <w:szCs w:val="18"/>
              </w:rPr>
              <w:t xml:space="preserve">Design</w:t>
            </w:r>
          </w:p>
        </w:tc>
        <w:tc>
          <w:tcPr>
            <w:tcW w:type="dxa" w:w="2120"/>
            <w:shd w:fill="1F3864" w:color="auto" w:val="clear"/>
            <w:tcMar>
              <w:top w:type="dxa" w:w="60"/>
              <w:left w:type="dxa" w:w="90"/>
              <w:bottom w:type="dxa" w:w="60"/>
              <w:right w:type="dxa" w:w="90"/>
            </w:tcMar>
          </w:tcPr>
          <w:p>
            <w:pPr>
              <w:spacing w:after="40"/>
            </w:pPr>
            <w:r>
              <w:rPr>
                <w:b/>
                <w:bCs/>
                <w:color w:val="FFFFFF"/>
                <w:sz w:val="18"/>
                <w:szCs w:val="18"/>
              </w:rPr>
              <w:t xml:space="preserve">Sample</w:t>
            </w:r>
          </w:p>
        </w:tc>
        <w:tc>
          <w:tcPr>
            <w:tcW w:type="dxa" w:w="2314"/>
            <w:shd w:fill="1F3864" w:color="auto" w:val="clear"/>
            <w:tcMar>
              <w:top w:type="dxa" w:w="60"/>
              <w:left w:type="dxa" w:w="90"/>
              <w:bottom w:type="dxa" w:w="60"/>
              <w:right w:type="dxa" w:w="90"/>
            </w:tcMar>
          </w:tcPr>
          <w:p>
            <w:pPr>
              <w:spacing w:after="40"/>
            </w:pPr>
            <w:r>
              <w:rPr>
                <w:b/>
                <w:bCs/>
                <w:color w:val="FFFFFF"/>
                <w:sz w:val="18"/>
                <w:szCs w:val="18"/>
              </w:rPr>
              <w:t xml:space="preserve">Comparison</w:t>
            </w:r>
          </w:p>
        </w:tc>
      </w:tr>
      <w:tr>
        <w:trPr>
          <w:cantSplit w:val="off"/>
        </w:trPr>
        <w:tc>
          <w:tcPr>
            <w:tcW w:type="dxa" w:w="2313"/>
            <w:tcMar>
              <w:top w:type="dxa" w:w="60"/>
              <w:left w:type="dxa" w:w="90"/>
              <w:bottom w:type="dxa" w:w="60"/>
              <w:right w:type="dxa" w:w="90"/>
            </w:tcMar>
          </w:tcPr>
          <w:p>
            <w:pPr>
              <w:spacing w:after="40"/>
            </w:pPr>
            <w:r>
              <w:rPr>
                <w:sz w:val="18"/>
                <w:szCs w:val="18"/>
              </w:rPr>
              <w:t xml:space="preserve">Oktavio &amp; Riyanti (2021)</w:t>
            </w:r>
          </w:p>
        </w:tc>
        <w:tc>
          <w:tcPr>
            <w:tcW w:type="dxa" w:w="2891"/>
            <w:tcMar>
              <w:top w:type="dxa" w:w="60"/>
              <w:left w:type="dxa" w:w="90"/>
              <w:bottom w:type="dxa" w:w="60"/>
              <w:right w:type="dxa" w:w="90"/>
            </w:tcMar>
          </w:tcPr>
          <w:p>
            <w:pPr>
              <w:spacing w:after="40"/>
            </w:pPr>
            <w:r>
              <w:rPr>
                <w:sz w:val="18"/>
                <w:szCs w:val="18"/>
              </w:rPr>
              <w:t xml:space="preserve">Two-step: fixed-effects panel, then cross-section of determinants</w:t>
            </w:r>
          </w:p>
        </w:tc>
        <w:tc>
          <w:tcPr>
            <w:tcW w:type="dxa" w:w="2120"/>
            <w:tcMar>
              <w:top w:type="dxa" w:w="60"/>
              <w:left w:type="dxa" w:w="90"/>
              <w:bottom w:type="dxa" w:w="60"/>
              <w:right w:type="dxa" w:w="90"/>
            </w:tcMar>
          </w:tcPr>
          <w:p>
            <w:pPr>
              <w:spacing w:after="40"/>
            </w:pPr>
            <w:r>
              <w:rPr>
                <w:sz w:val="18"/>
                <w:szCs w:val="18"/>
              </w:rPr>
              <w:t xml:space="preserve">42 ASEAN green bonds</w:t>
            </w:r>
          </w:p>
        </w:tc>
        <w:tc>
          <w:tcPr>
            <w:tcW w:type="dxa" w:w="2314"/>
            <w:tcMar>
              <w:top w:type="dxa" w:w="60"/>
              <w:left w:type="dxa" w:w="90"/>
              <w:bottom w:type="dxa" w:w="60"/>
              <w:right w:type="dxa" w:w="90"/>
            </w:tcMar>
          </w:tcPr>
          <w:p>
            <w:pPr>
              <w:spacing w:after="40"/>
            </w:pPr>
            <w:r>
              <w:rPr>
                <w:sz w:val="18"/>
                <w:szCs w:val="18"/>
              </w:rPr>
              <w:t xml:space="preserve">Your 72 pairs exceed this. The same design is feasible.</w:t>
            </w:r>
          </w:p>
        </w:tc>
      </w:tr>
      <w:tr>
        <w:trPr>
          <w:cantSplit w:val="off"/>
        </w:trPr>
        <w:tc>
          <w:tcPr>
            <w:tcW w:type="dxa" w:w="2313"/>
            <w:tcMar>
              <w:top w:type="dxa" w:w="60"/>
              <w:left w:type="dxa" w:w="90"/>
              <w:bottom w:type="dxa" w:w="60"/>
              <w:right w:type="dxa" w:w="90"/>
            </w:tcMar>
          </w:tcPr>
          <w:p>
            <w:pPr>
              <w:spacing w:after="40"/>
            </w:pPr>
            <w:r>
              <w:rPr>
                <w:sz w:val="18"/>
                <w:szCs w:val="18"/>
              </w:rPr>
              <w:t xml:space="preserve">Sun, Feng &amp; Zhou (2022)</w:t>
            </w:r>
          </w:p>
        </w:tc>
        <w:tc>
          <w:tcPr>
            <w:tcW w:type="dxa" w:w="2891"/>
            <w:tcMar>
              <w:top w:type="dxa" w:w="60"/>
              <w:left w:type="dxa" w:w="90"/>
              <w:bottom w:type="dxa" w:w="60"/>
              <w:right w:type="dxa" w:w="90"/>
            </w:tcMar>
          </w:tcPr>
          <w:p>
            <w:pPr>
              <w:spacing w:after="40"/>
            </w:pPr>
            <w:r>
              <w:rPr>
                <w:sz w:val="18"/>
                <w:szCs w:val="18"/>
              </w:rPr>
              <w:t xml:space="preserve">Green vs conventional, with determinants</w:t>
            </w:r>
          </w:p>
        </w:tc>
        <w:tc>
          <w:tcPr>
            <w:tcW w:type="dxa" w:w="2120"/>
            <w:tcMar>
              <w:top w:type="dxa" w:w="60"/>
              <w:left w:type="dxa" w:w="90"/>
              <w:bottom w:type="dxa" w:w="60"/>
              <w:right w:type="dxa" w:w="90"/>
            </w:tcMar>
          </w:tcPr>
          <w:p>
            <w:pPr>
              <w:spacing w:after="40"/>
            </w:pPr>
            <w:r>
              <w:rPr>
                <w:sz w:val="18"/>
                <w:szCs w:val="18"/>
              </w:rPr>
              <w:t xml:space="preserve">227 green and 405 conventional bonds</w:t>
            </w:r>
          </w:p>
        </w:tc>
        <w:tc>
          <w:tcPr>
            <w:tcW w:type="dxa" w:w="2314"/>
            <w:tcMar>
              <w:top w:type="dxa" w:w="60"/>
              <w:left w:type="dxa" w:w="90"/>
              <w:bottom w:type="dxa" w:w="60"/>
              <w:right w:type="dxa" w:w="90"/>
            </w:tcMar>
          </w:tcPr>
          <w:p>
            <w:pPr>
              <w:spacing w:after="40"/>
            </w:pPr>
            <w:r>
              <w:rPr>
                <w:sz w:val="18"/>
                <w:szCs w:val="18"/>
              </w:rPr>
              <w:t xml:space="preserve">Much larger; you cannot match its number of controls.</w:t>
            </w:r>
          </w:p>
        </w:tc>
      </w:tr>
      <w:tr>
        <w:trPr>
          <w:cantSplit w:val="off"/>
        </w:trPr>
        <w:tc>
          <w:tcPr>
            <w:tcW w:type="dxa" w:w="2313"/>
            <w:tcMar>
              <w:top w:type="dxa" w:w="60"/>
              <w:left w:type="dxa" w:w="90"/>
              <w:bottom w:type="dxa" w:w="60"/>
              <w:right w:type="dxa" w:w="90"/>
            </w:tcMar>
          </w:tcPr>
          <w:p>
            <w:pPr>
              <w:spacing w:after="40"/>
            </w:pPr>
            <w:r>
              <w:rPr>
                <w:sz w:val="18"/>
                <w:szCs w:val="18"/>
              </w:rPr>
              <w:t xml:space="preserve">Grishunin, Bukreeva &amp; Suloeva (2023)</w:t>
            </w:r>
          </w:p>
        </w:tc>
        <w:tc>
          <w:tcPr>
            <w:tcW w:type="dxa" w:w="2891"/>
            <w:tcMar>
              <w:top w:type="dxa" w:w="60"/>
              <w:left w:type="dxa" w:w="90"/>
              <w:bottom w:type="dxa" w:w="60"/>
              <w:right w:type="dxa" w:w="90"/>
            </w:tcMar>
          </w:tcPr>
          <w:p>
            <w:pPr>
              <w:spacing w:after="40"/>
            </w:pPr>
            <w:r>
              <w:rPr>
                <w:sz w:val="18"/>
                <w:szCs w:val="18"/>
              </w:rPr>
              <w:t xml:space="preserve">Linear regression of yields on determinants</w:t>
            </w:r>
          </w:p>
        </w:tc>
        <w:tc>
          <w:tcPr>
            <w:tcW w:type="dxa" w:w="2120"/>
            <w:tcMar>
              <w:top w:type="dxa" w:w="60"/>
              <w:left w:type="dxa" w:w="90"/>
              <w:bottom w:type="dxa" w:w="60"/>
              <w:right w:type="dxa" w:w="90"/>
            </w:tcMar>
          </w:tcPr>
          <w:p>
            <w:pPr>
              <w:spacing w:after="40"/>
            </w:pPr>
            <w:r>
              <w:rPr>
                <w:sz w:val="18"/>
                <w:szCs w:val="18"/>
              </w:rPr>
              <w:t xml:space="preserve">3,851 bonds</w:t>
            </w:r>
          </w:p>
        </w:tc>
        <w:tc>
          <w:tcPr>
            <w:tcW w:type="dxa" w:w="2314"/>
            <w:tcMar>
              <w:top w:type="dxa" w:w="60"/>
              <w:left w:type="dxa" w:w="90"/>
              <w:bottom w:type="dxa" w:w="60"/>
              <w:right w:type="dxa" w:w="90"/>
            </w:tcMar>
          </w:tcPr>
          <w:p>
            <w:pPr>
              <w:spacing w:after="40"/>
            </w:pPr>
            <w:r>
              <w:rPr>
                <w:sz w:val="18"/>
                <w:szCs w:val="18"/>
              </w:rPr>
              <w:t xml:space="preserve">Much larger; you cannot match its model size.</w:t>
            </w:r>
          </w:p>
        </w:tc>
      </w:tr>
      <w:tr>
        <w:trPr>
          <w:cantSplit w:val="off"/>
        </w:trPr>
        <w:tc>
          <w:tcPr>
            <w:tcW w:type="dxa" w:w="2313"/>
            <w:tcMar>
              <w:top w:type="dxa" w:w="60"/>
              <w:left w:type="dxa" w:w="90"/>
              <w:bottom w:type="dxa" w:w="60"/>
              <w:right w:type="dxa" w:w="90"/>
            </w:tcMar>
          </w:tcPr>
          <w:p>
            <w:pPr>
              <w:spacing w:after="40"/>
            </w:pPr>
            <w:r>
              <w:rPr>
                <w:sz w:val="18"/>
                <w:szCs w:val="18"/>
              </w:rPr>
              <w:t xml:space="preserve">Salhani &amp; Mouselli (2022)</w:t>
            </w:r>
          </w:p>
        </w:tc>
        <w:tc>
          <w:tcPr>
            <w:tcW w:type="dxa" w:w="2891"/>
            <w:tcMar>
              <w:top w:type="dxa" w:w="60"/>
              <w:left w:type="dxa" w:w="90"/>
              <w:bottom w:type="dxa" w:w="60"/>
              <w:right w:type="dxa" w:w="90"/>
            </w:tcMar>
          </w:tcPr>
          <w:p>
            <w:pPr>
              <w:spacing w:after="40"/>
            </w:pPr>
            <w:r>
              <w:rPr>
                <w:sz w:val="18"/>
                <w:szCs w:val="18"/>
              </w:rPr>
              <w:t xml:space="preserve">Panel of Tier 1 sukuk issuers</w:t>
            </w:r>
          </w:p>
        </w:tc>
        <w:tc>
          <w:tcPr>
            <w:tcW w:type="dxa" w:w="2120"/>
            <w:tcMar>
              <w:top w:type="dxa" w:w="60"/>
              <w:left w:type="dxa" w:w="90"/>
              <w:bottom w:type="dxa" w:w="60"/>
              <w:right w:type="dxa" w:w="90"/>
            </w:tcMar>
          </w:tcPr>
          <w:p>
            <w:pPr>
              <w:spacing w:after="40"/>
            </w:pPr>
            <w:r>
              <w:rPr>
                <w:sz w:val="18"/>
                <w:szCs w:val="18"/>
              </w:rPr>
              <w:t xml:space="preserve">All UAE Islamic banks issuing Tier 1 sukuk, 2010–2020</w:t>
            </w:r>
          </w:p>
        </w:tc>
        <w:tc>
          <w:tcPr>
            <w:tcW w:type="dxa" w:w="2314"/>
            <w:tcMar>
              <w:top w:type="dxa" w:w="60"/>
              <w:left w:type="dxa" w:w="90"/>
              <w:bottom w:type="dxa" w:w="60"/>
              <w:right w:type="dxa" w:w="90"/>
            </w:tcMar>
          </w:tcPr>
          <w:p>
            <w:pPr>
              <w:spacing w:after="40"/>
            </w:pPr>
            <w:r>
              <w:rPr>
                <w:sz w:val="18"/>
                <w:szCs w:val="18"/>
              </w:rPr>
              <w:t xml:space="preserve">Also small; shows AT1 sukuk panels are necessarily small.</w:t>
            </w:r>
          </w:p>
        </w:tc>
      </w:tr>
    </w:tbl>
    <w:p>
      <w:pPr>
        <w:spacing w:after="60"/>
      </w:pPr>
    </w:p>
    <w:p>
      <w:pPr>
        <w:spacing w:after="120" w:line="276"/>
      </w:pPr>
      <w:r>
        <w:rPr>
          <w:b/>
          <w:bCs/>
        </w:rPr>
        <w:t xml:space="preserve">Verdict:</w:t>
      </w:r>
      <w:r>
        <w:t xml:space="preserve"> the sample is large enough for a </w:t>
      </w:r>
      <w:r>
        <w:rPr>
          <w:b/>
          <w:bCs/>
        </w:rPr>
        <w:t xml:space="preserve">small, pre-specified</w:t>
      </w:r>
      <w:r>
        <w:t xml:space="preserve"> model. It is larger than the closest template (42 bonds) but far smaller than the large regression studies. So: few regressors, pooled classes, small-cluster inference, and report the smallest effect you could detect. It is </w:t>
      </w:r>
      <w:r>
        <w:rPr>
          <w:b/>
          <w:bCs/>
        </w:rPr>
        <w:t xml:space="preserve">not</w:t>
      </w:r>
      <w:r>
        <w:t xml:space="preserve"> large enough for separate callable models (17 pairs) or regional GCC vs ASEAN models.</w:t>
      </w:r>
    </w:p>
    <w:p>
      <w:pPr>
        <w:pStyle w:val="Heading2"/>
      </w:pPr>
      <w:r>
        <w:t xml:space="preserve">5.4 Variables and expected signs</w:t>
      </w:r>
    </w:p>
    <w:p>
      <w:pPr>
        <w:spacing w:after="120" w:line="276"/>
      </w:pPr>
      <w:r>
        <w:t xml:space="preserve">Dependent variable: treated (or labelled) yield minus plain yield, in basis points. “+” means the variable widens the differential (higher yield on the feature leg); “−” means it narrows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120"/>
        <w:gridCol w:w="1349"/>
        <w:gridCol w:w="4434"/>
      </w:tblGrid>
      <w:tr>
        <w:trPr>
          <w:tblHeader/>
        </w:trPr>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Variable (step)</w:t>
            </w:r>
          </w:p>
        </w:tc>
        <w:tc>
          <w:tcPr>
            <w:tcW w:type="dxa" w:w="2120"/>
            <w:shd w:fill="1F3864" w:color="auto" w:val="clear"/>
            <w:tcMar>
              <w:top w:type="dxa" w:w="60"/>
              <w:left w:type="dxa" w:w="90"/>
              <w:bottom w:type="dxa" w:w="60"/>
              <w:right w:type="dxa" w:w="90"/>
            </w:tcMar>
          </w:tcPr>
          <w:p>
            <w:pPr>
              <w:spacing w:after="40"/>
            </w:pPr>
            <w:r>
              <w:rPr>
                <w:b/>
                <w:bCs/>
                <w:color w:val="FFFFFF"/>
                <w:sz w:val="18"/>
                <w:szCs w:val="18"/>
              </w:rPr>
              <w:t xml:space="preserve">Measure</w:t>
            </w:r>
          </w:p>
        </w:tc>
        <w:tc>
          <w:tcPr>
            <w:tcW w:type="dxa" w:w="1349"/>
            <w:shd w:fill="1F3864" w:color="auto" w:val="clear"/>
            <w:tcMar>
              <w:top w:type="dxa" w:w="60"/>
              <w:left w:type="dxa" w:w="90"/>
              <w:bottom w:type="dxa" w:w="60"/>
              <w:right w:type="dxa" w:w="90"/>
            </w:tcMar>
          </w:tcPr>
          <w:p>
            <w:pPr>
              <w:spacing w:after="40"/>
            </w:pPr>
            <w:r>
              <w:rPr>
                <w:b/>
                <w:bCs/>
                <w:color w:val="FFFFFF"/>
                <w:sz w:val="18"/>
                <w:szCs w:val="18"/>
              </w:rPr>
              <w:t xml:space="preserve">Expected sign</w:t>
            </w:r>
          </w:p>
        </w:tc>
        <w:tc>
          <w:tcPr>
            <w:tcW w:type="dxa" w:w="4434"/>
            <w:shd w:fill="1F3864" w:color="auto" w:val="clear"/>
            <w:tcMar>
              <w:top w:type="dxa" w:w="60"/>
              <w:left w:type="dxa" w:w="90"/>
              <w:bottom w:type="dxa" w:w="60"/>
              <w:right w:type="dxa" w:w="90"/>
            </w:tcMar>
          </w:tcPr>
          <w:p>
            <w:pPr>
              <w:spacing w:after="40"/>
            </w:pPr>
            <w:r>
              <w:rPr>
                <w:b/>
                <w:bCs/>
                <w:color w:val="FFFFFF"/>
                <w:sz w:val="18"/>
                <w:szCs w:val="18"/>
              </w:rPr>
              <w:t xml:space="preserve">Basis in past research</w:t>
            </w:r>
          </w:p>
        </w:tc>
      </w:tr>
      <w:tr>
        <w:trPr>
          <w:cantSplit w:val="off"/>
        </w:trPr>
        <w:tc>
          <w:tcPr>
            <w:tcW w:type="dxa" w:w="1735"/>
            <w:tcMar>
              <w:top w:type="dxa" w:w="60"/>
              <w:left w:type="dxa" w:w="90"/>
              <w:bottom w:type="dxa" w:w="60"/>
              <w:right w:type="dxa" w:w="90"/>
            </w:tcMar>
          </w:tcPr>
          <w:p>
            <w:pPr>
              <w:spacing w:after="40"/>
            </w:pPr>
            <w:r>
              <w:rPr>
                <w:sz w:val="18"/>
                <w:szCs w:val="18"/>
              </w:rPr>
              <w:t xml:space="preserve">Credit gap (1)</w:t>
            </w:r>
          </w:p>
        </w:tc>
        <w:tc>
          <w:tcPr>
            <w:tcW w:type="dxa" w:w="2120"/>
            <w:tcMar>
              <w:top w:type="dxa" w:w="60"/>
              <w:left w:type="dxa" w:w="90"/>
              <w:bottom w:type="dxa" w:w="60"/>
              <w:right w:type="dxa" w:w="90"/>
            </w:tcMar>
          </w:tcPr>
          <w:p>
            <w:pPr>
              <w:spacing w:after="40"/>
            </w:pPr>
            <w:r>
              <w:rPr>
                <w:sz w:val="18"/>
                <w:szCs w:val="18"/>
              </w:rPr>
              <w:t xml:space="preserve">Rating notch gap; “unrated treated leg” dummy</w:t>
            </w:r>
          </w:p>
        </w:tc>
        <w:tc>
          <w:tcPr>
            <w:tcW w:type="dxa" w:w="1349"/>
            <w:tcMar>
              <w:top w:type="dxa" w:w="60"/>
              <w:left w:type="dxa" w:w="90"/>
              <w:bottom w:type="dxa" w:w="60"/>
              <w:right w:type="dxa" w:w="90"/>
            </w:tcMar>
          </w:tcPr>
          <w:p>
            <w:pPr>
              <w:spacing w:after="40"/>
            </w:pPr>
            <w:r>
              <w:rPr>
                <w:sz w:val="18"/>
                <w:szCs w:val="18"/>
              </w:rPr>
              <w:t xml:space="preserve">+ for callable and AT1</w:t>
            </w:r>
          </w:p>
        </w:tc>
        <w:tc>
          <w:tcPr>
            <w:tcW w:type="dxa" w:w="4434"/>
            <w:tcMar>
              <w:top w:type="dxa" w:w="60"/>
              <w:left w:type="dxa" w:w="90"/>
              <w:bottom w:type="dxa" w:w="60"/>
              <w:right w:type="dxa" w:w="90"/>
            </w:tcMar>
          </w:tcPr>
          <w:p>
            <w:pPr>
              <w:spacing w:after="40"/>
            </w:pPr>
            <w:r>
              <w:rPr>
                <w:sz w:val="18"/>
                <w:szCs w:val="18"/>
              </w:rPr>
              <w:t xml:space="preserve">Call value is larger for weaker credits (Becker et al., 2024; Samet &amp; Obay, 2014). Unrated Tier 2 CoCos carry an 84 bp call premium vs −12 bp for rated ones (Oster, 2020). Rating affects the greenium (Hinsche, 2022; Oktavio &amp; Riyanti, 2021).</w:t>
            </w:r>
          </w:p>
        </w:tc>
      </w:tr>
      <w:tr>
        <w:trPr>
          <w:cantSplit w:val="off"/>
        </w:trPr>
        <w:tc>
          <w:tcPr>
            <w:tcW w:type="dxa" w:w="1735"/>
            <w:tcMar>
              <w:top w:type="dxa" w:w="60"/>
              <w:left w:type="dxa" w:w="90"/>
              <w:bottom w:type="dxa" w:w="60"/>
              <w:right w:type="dxa" w:w="90"/>
            </w:tcMar>
          </w:tcPr>
          <w:p>
            <w:pPr>
              <w:spacing w:after="40"/>
            </w:pPr>
            <w:r>
              <w:rPr>
                <w:sz w:val="18"/>
                <w:szCs w:val="18"/>
              </w:rPr>
              <w:t xml:space="preserve">Liquidity gap (1, 2)</w:t>
            </w:r>
          </w:p>
        </w:tc>
        <w:tc>
          <w:tcPr>
            <w:tcW w:type="dxa" w:w="2120"/>
            <w:tcMar>
              <w:top w:type="dxa" w:w="60"/>
              <w:left w:type="dxa" w:w="90"/>
              <w:bottom w:type="dxa" w:w="60"/>
              <w:right w:type="dxa" w:w="90"/>
            </w:tcMar>
          </w:tcPr>
          <w:p>
            <w:pPr>
              <w:spacing w:after="40"/>
            </w:pPr>
            <w:r>
              <w:rPr>
                <w:sz w:val="18"/>
                <w:szCs w:val="18"/>
              </w:rPr>
              <w:t xml:space="preserve">Quoted-spread gap; liquidity-score gap</w:t>
            </w:r>
          </w:p>
        </w:tc>
        <w:tc>
          <w:tcPr>
            <w:tcW w:type="dxa" w:w="1349"/>
            <w:tcMar>
              <w:top w:type="dxa" w:w="60"/>
              <w:left w:type="dxa" w:w="90"/>
              <w:bottom w:type="dxa" w:w="60"/>
              <w:right w:type="dxa" w:w="90"/>
            </w:tcMar>
          </w:tcPr>
          <w:p>
            <w:pPr>
              <w:spacing w:after="40"/>
            </w:pPr>
            <w:r>
              <w:rPr>
                <w:sz w:val="18"/>
                <w:szCs w:val="18"/>
              </w:rPr>
              <w:t xml:space="preserve">+ when the feature leg is less liquid</w:t>
            </w:r>
          </w:p>
        </w:tc>
        <w:tc>
          <w:tcPr>
            <w:tcW w:type="dxa" w:w="4434"/>
            <w:tcMar>
              <w:top w:type="dxa" w:w="60"/>
              <w:left w:type="dxa" w:w="90"/>
              <w:bottom w:type="dxa" w:w="60"/>
              <w:right w:type="dxa" w:w="90"/>
            </w:tcMar>
          </w:tcPr>
          <w:p>
            <w:pPr>
              <w:spacing w:after="40"/>
            </w:pPr>
            <w:r>
              <w:rPr>
                <w:sz w:val="18"/>
                <w:szCs w:val="18"/>
              </w:rPr>
              <w:t xml:space="preserve">Liquidity can flip the sign of the greenium (Fandella &amp; Cociancich, 2024). Wider bid-ask spreads mean higher yields (Grishunin et al., 2023). Liquidity explains the sovereign sukuk premium (Asmuni &amp; Tan, 2020).</w:t>
            </w:r>
          </w:p>
        </w:tc>
      </w:tr>
      <w:tr>
        <w:trPr>
          <w:cantSplit w:val="off"/>
        </w:trPr>
        <w:tc>
          <w:tcPr>
            <w:tcW w:type="dxa" w:w="1735"/>
            <w:tcMar>
              <w:top w:type="dxa" w:w="60"/>
              <w:left w:type="dxa" w:w="90"/>
              <w:bottom w:type="dxa" w:w="60"/>
              <w:right w:type="dxa" w:w="90"/>
            </w:tcMar>
          </w:tcPr>
          <w:p>
            <w:pPr>
              <w:spacing w:after="40"/>
            </w:pPr>
            <w:r>
              <w:rPr>
                <w:sz w:val="18"/>
                <w:szCs w:val="18"/>
              </w:rPr>
              <w:t xml:space="preserve">Issue size gap (1)</w:t>
            </w:r>
          </w:p>
        </w:tc>
        <w:tc>
          <w:tcPr>
            <w:tcW w:type="dxa" w:w="2120"/>
            <w:tcMar>
              <w:top w:type="dxa" w:w="60"/>
              <w:left w:type="dxa" w:w="90"/>
              <w:bottom w:type="dxa" w:w="60"/>
              <w:right w:type="dxa" w:w="90"/>
            </w:tcMar>
          </w:tcPr>
          <w:p>
            <w:pPr>
              <w:spacing w:after="40"/>
            </w:pPr>
            <w:r>
              <w:rPr>
                <w:sz w:val="18"/>
                <w:szCs w:val="18"/>
              </w:rPr>
              <w:t xml:space="preserve">Log size, treated minus control</w:t>
            </w:r>
          </w:p>
        </w:tc>
        <w:tc>
          <w:tcPr>
            <w:tcW w:type="dxa" w:w="1349"/>
            <w:tcMar>
              <w:top w:type="dxa" w:w="60"/>
              <w:left w:type="dxa" w:w="90"/>
              <w:bottom w:type="dxa" w:w="60"/>
              <w:right w:type="dxa" w:w="90"/>
            </w:tcMar>
          </w:tcPr>
          <w:p>
            <w:pPr>
              <w:spacing w:after="40"/>
            </w:pPr>
            <w:r>
              <w:rPr>
                <w:sz w:val="18"/>
                <w:szCs w:val="18"/>
              </w:rPr>
              <w:t xml:space="preserve">Mixed</w:t>
            </w:r>
          </w:p>
        </w:tc>
        <w:tc>
          <w:tcPr>
            <w:tcW w:type="dxa" w:w="4434"/>
            <w:tcMar>
              <w:top w:type="dxa" w:w="60"/>
              <w:left w:type="dxa" w:w="90"/>
              <w:bottom w:type="dxa" w:w="60"/>
              <w:right w:type="dxa" w:w="90"/>
            </w:tcMar>
          </w:tcPr>
          <w:p>
            <w:pPr>
              <w:spacing w:after="40"/>
            </w:pPr>
            <w:r>
              <w:rPr>
                <w:sz w:val="18"/>
                <w:szCs w:val="18"/>
              </w:rPr>
              <w:t xml:space="preserve">Size matters in some studies (Oktavio &amp; Riyanti, 2021) but not in others (Hinsche, 2022).</w:t>
            </w:r>
          </w:p>
        </w:tc>
      </w:tr>
      <w:tr>
        <w:trPr>
          <w:cantSplit w:val="off"/>
        </w:trPr>
        <w:tc>
          <w:tcPr>
            <w:tcW w:type="dxa" w:w="1735"/>
            <w:tcMar>
              <w:top w:type="dxa" w:w="60"/>
              <w:left w:type="dxa" w:w="90"/>
              <w:bottom w:type="dxa" w:w="60"/>
              <w:right w:type="dxa" w:w="90"/>
            </w:tcMar>
          </w:tcPr>
          <w:p>
            <w:pPr>
              <w:spacing w:after="40"/>
            </w:pPr>
            <w:r>
              <w:rPr>
                <w:sz w:val="18"/>
                <w:szCs w:val="18"/>
              </w:rPr>
              <w:t xml:space="preserve">Horizon gap (1)</w:t>
            </w:r>
          </w:p>
        </w:tc>
        <w:tc>
          <w:tcPr>
            <w:tcW w:type="dxa" w:w="2120"/>
            <w:tcMar>
              <w:top w:type="dxa" w:w="60"/>
              <w:left w:type="dxa" w:w="90"/>
              <w:bottom w:type="dxa" w:w="60"/>
              <w:right w:type="dxa" w:w="90"/>
            </w:tcMar>
          </w:tcPr>
          <w:p>
            <w:pPr>
              <w:spacing w:after="40"/>
            </w:pPr>
            <w:r>
              <w:rPr>
                <w:sz w:val="18"/>
                <w:szCs w:val="18"/>
              </w:rPr>
              <w:t xml:space="preserve">Years to workout, treated minus control</w:t>
            </w:r>
          </w:p>
        </w:tc>
        <w:tc>
          <w:tcPr>
            <w:tcW w:type="dxa" w:w="1349"/>
            <w:tcMar>
              <w:top w:type="dxa" w:w="60"/>
              <w:left w:type="dxa" w:w="90"/>
              <w:bottom w:type="dxa" w:w="60"/>
              <w:right w:type="dxa" w:w="90"/>
            </w:tcMar>
          </w:tcPr>
          <w:p>
            <w:pPr>
              <w:spacing w:after="40"/>
            </w:pPr>
            <w:r>
              <w:rPr>
                <w:sz w:val="18"/>
                <w:szCs w:val="18"/>
              </w:rPr>
              <w:t xml:space="preserve">Mixed (+ for labels in several studies)</w:t>
            </w:r>
          </w:p>
        </w:tc>
        <w:tc>
          <w:tcPr>
            <w:tcW w:type="dxa" w:w="4434"/>
            <w:tcMar>
              <w:top w:type="dxa" w:w="60"/>
              <w:left w:type="dxa" w:w="90"/>
              <w:bottom w:type="dxa" w:w="60"/>
              <w:right w:type="dxa" w:w="90"/>
            </w:tcMar>
          </w:tcPr>
          <w:p>
            <w:pPr>
              <w:spacing w:after="40"/>
            </w:pPr>
            <w:r>
              <w:rPr>
                <w:sz w:val="18"/>
                <w:szCs w:val="18"/>
              </w:rPr>
              <w:t xml:space="preserve">Oktavio &amp; Riyanti (2021) report a larger greenium for longer maturities in earlier studies. Your curve cancellation weakens this.</w:t>
            </w:r>
          </w:p>
        </w:tc>
      </w:tr>
      <w:tr>
        <w:trPr>
          <w:cantSplit w:val="off"/>
        </w:trPr>
        <w:tc>
          <w:tcPr>
            <w:tcW w:type="dxa" w:w="1735"/>
            <w:tcMar>
              <w:top w:type="dxa" w:w="60"/>
              <w:left w:type="dxa" w:w="90"/>
              <w:bottom w:type="dxa" w:w="60"/>
              <w:right w:type="dxa" w:w="90"/>
            </w:tcMar>
          </w:tcPr>
          <w:p>
            <w:pPr>
              <w:spacing w:after="40"/>
            </w:pPr>
            <w:r>
              <w:rPr>
                <w:sz w:val="18"/>
                <w:szCs w:val="18"/>
              </w:rPr>
              <w:t xml:space="preserve">Time to first call (2)</w:t>
            </w:r>
          </w:p>
        </w:tc>
        <w:tc>
          <w:tcPr>
            <w:tcW w:type="dxa" w:w="2120"/>
            <w:tcMar>
              <w:top w:type="dxa" w:w="60"/>
              <w:left w:type="dxa" w:w="90"/>
              <w:bottom w:type="dxa" w:w="60"/>
              <w:right w:type="dxa" w:w="90"/>
            </w:tcMar>
          </w:tcPr>
          <w:p>
            <w:pPr>
              <w:spacing w:after="40"/>
            </w:pPr>
            <w:r>
              <w:rPr>
                <w:sz w:val="18"/>
                <w:szCs w:val="18"/>
              </w:rPr>
              <w:t xml:space="preserve">Years to next call date</w:t>
            </w:r>
          </w:p>
        </w:tc>
        <w:tc>
          <w:tcPr>
            <w:tcW w:type="dxa" w:w="1349"/>
            <w:tcMar>
              <w:top w:type="dxa" w:w="60"/>
              <w:left w:type="dxa" w:w="90"/>
              <w:bottom w:type="dxa" w:w="60"/>
              <w:right w:type="dxa" w:w="90"/>
            </w:tcMar>
          </w:tcPr>
          <w:p>
            <w:pPr>
              <w:spacing w:after="40"/>
            </w:pPr>
            <w:r>
              <w:rPr>
                <w:sz w:val="18"/>
                <w:szCs w:val="18"/>
              </w:rPr>
              <w:t xml:space="preserve">+ for AT1 if exercise is expected</w:t>
            </w:r>
          </w:p>
        </w:tc>
        <w:tc>
          <w:tcPr>
            <w:tcW w:type="dxa" w:w="4434"/>
            <w:tcMar>
              <w:top w:type="dxa" w:w="60"/>
              <w:left w:type="dxa" w:w="90"/>
              <w:bottom w:type="dxa" w:w="60"/>
              <w:right w:type="dxa" w:w="90"/>
            </w:tcMar>
          </w:tcPr>
          <w:p>
            <w:pPr>
              <w:spacing w:after="40"/>
            </w:pPr>
            <w:r>
              <w:rPr>
                <w:sz w:val="18"/>
                <w:szCs w:val="18"/>
              </w:rPr>
              <w:t xml:space="preserve">Bonds are revalued at call decisions (Ivashchenko &amp; Rockinger, 2026). Your own slope (§4.9, p. 47) is not significant, so treat this as a test, not a given.</w:t>
            </w:r>
          </w:p>
        </w:tc>
      </w:tr>
      <w:tr>
        <w:trPr>
          <w:cantSplit w:val="off"/>
        </w:trPr>
        <w:tc>
          <w:tcPr>
            <w:tcW w:type="dxa" w:w="1735"/>
            <w:tcMar>
              <w:top w:type="dxa" w:w="60"/>
              <w:left w:type="dxa" w:w="90"/>
              <w:bottom w:type="dxa" w:w="60"/>
              <w:right w:type="dxa" w:w="90"/>
            </w:tcMar>
          </w:tcPr>
          <w:p>
            <w:pPr>
              <w:spacing w:after="40"/>
            </w:pPr>
            <w:r>
              <w:rPr>
                <w:sz w:val="18"/>
                <w:szCs w:val="18"/>
              </w:rPr>
              <w:t xml:space="preserve">Rate environment (2)</w:t>
            </w:r>
          </w:p>
        </w:tc>
        <w:tc>
          <w:tcPr>
            <w:tcW w:type="dxa" w:w="2120"/>
            <w:tcMar>
              <w:top w:type="dxa" w:w="60"/>
              <w:left w:type="dxa" w:w="90"/>
              <w:bottom w:type="dxa" w:w="60"/>
              <w:right w:type="dxa" w:w="90"/>
            </w:tcMar>
          </w:tcPr>
          <w:p>
            <w:pPr>
              <w:spacing w:after="40"/>
            </w:pPr>
            <w:r>
              <w:rPr>
                <w:sz w:val="18"/>
                <w:szCs w:val="18"/>
              </w:rPr>
              <w:t xml:space="preserve">Rate level or volatility × callable</w:t>
            </w:r>
          </w:p>
        </w:tc>
        <w:tc>
          <w:tcPr>
            <w:tcW w:type="dxa" w:w="1349"/>
            <w:tcMar>
              <w:top w:type="dxa" w:w="60"/>
              <w:left w:type="dxa" w:w="90"/>
              <w:bottom w:type="dxa" w:w="60"/>
              <w:right w:type="dxa" w:w="90"/>
            </w:tcMar>
          </w:tcPr>
          <w:p>
            <w:pPr>
              <w:spacing w:after="40"/>
            </w:pPr>
            <w:r>
              <w:rPr>
                <w:sz w:val="18"/>
                <w:szCs w:val="18"/>
              </w:rPr>
              <w:t xml:space="preserve">+</w:t>
            </w:r>
          </w:p>
        </w:tc>
        <w:tc>
          <w:tcPr>
            <w:tcW w:type="dxa" w:w="4434"/>
            <w:tcMar>
              <w:top w:type="dxa" w:w="60"/>
              <w:left w:type="dxa" w:w="90"/>
              <w:bottom w:type="dxa" w:w="60"/>
              <w:right w:type="dxa" w:w="90"/>
            </w:tcMar>
          </w:tcPr>
          <w:p>
            <w:pPr>
              <w:spacing w:after="40"/>
            </w:pPr>
            <w:r>
              <w:rPr>
                <w:sz w:val="18"/>
                <w:szCs w:val="18"/>
              </w:rPr>
              <w:t xml:space="preserve">The call premium rises with expected rate changes (Spivey, 1989).</w:t>
            </w:r>
          </w:p>
        </w:tc>
      </w:tr>
      <w:tr>
        <w:trPr>
          <w:cantSplit w:val="off"/>
        </w:trPr>
        <w:tc>
          <w:tcPr>
            <w:tcW w:type="dxa" w:w="1735"/>
            <w:tcMar>
              <w:top w:type="dxa" w:w="60"/>
              <w:left w:type="dxa" w:w="90"/>
              <w:bottom w:type="dxa" w:w="60"/>
              <w:right w:type="dxa" w:w="90"/>
            </w:tcMar>
          </w:tcPr>
          <w:p>
            <w:pPr>
              <w:spacing w:after="40"/>
            </w:pPr>
            <w:r>
              <w:rPr>
                <w:sz w:val="18"/>
                <w:szCs w:val="18"/>
              </w:rPr>
              <w:t xml:space="preserve">Market stress (2)</w:t>
            </w:r>
          </w:p>
        </w:tc>
        <w:tc>
          <w:tcPr>
            <w:tcW w:type="dxa" w:w="2120"/>
            <w:tcMar>
              <w:top w:type="dxa" w:w="60"/>
              <w:left w:type="dxa" w:w="90"/>
              <w:bottom w:type="dxa" w:w="60"/>
              <w:right w:type="dxa" w:w="90"/>
            </w:tcMar>
          </w:tcPr>
          <w:p>
            <w:pPr>
              <w:spacing w:after="40"/>
            </w:pPr>
            <w:r>
              <w:rPr>
                <w:sz w:val="18"/>
                <w:szCs w:val="18"/>
              </w:rPr>
              <w:t xml:space="preserve">AT1 × March 2023 dummy</w:t>
            </w:r>
          </w:p>
        </w:tc>
        <w:tc>
          <w:tcPr>
            <w:tcW w:type="dxa" w:w="1349"/>
            <w:tcMar>
              <w:top w:type="dxa" w:w="60"/>
              <w:left w:type="dxa" w:w="90"/>
              <w:bottom w:type="dxa" w:w="60"/>
              <w:right w:type="dxa" w:w="90"/>
            </w:tcMar>
          </w:tcPr>
          <w:p>
            <w:pPr>
              <w:spacing w:after="40"/>
            </w:pPr>
            <w:r>
              <w:rPr>
                <w:sz w:val="18"/>
                <w:szCs w:val="18"/>
              </w:rPr>
              <w:t xml:space="preserve">+</w:t>
            </w:r>
          </w:p>
        </w:tc>
        <w:tc>
          <w:tcPr>
            <w:tcW w:type="dxa" w:w="4434"/>
            <w:tcMar>
              <w:top w:type="dxa" w:w="60"/>
              <w:left w:type="dxa" w:w="90"/>
              <w:bottom w:type="dxa" w:w="60"/>
              <w:right w:type="dxa" w:w="90"/>
            </w:tcMar>
          </w:tcPr>
          <w:p>
            <w:pPr>
              <w:spacing w:after="40"/>
            </w:pPr>
            <w:r>
              <w:rPr>
                <w:sz w:val="18"/>
                <w:szCs w:val="18"/>
              </w:rPr>
              <w:t xml:space="preserve">The Credit Suisse write-down repriced AT1 risk (Bolton, Jiang &amp; Kartasheva, 2023). AT1 spread drivers are regulatory and design factors (Kind, Oster &amp; Peter, 2022).</w:t>
            </w:r>
          </w:p>
        </w:tc>
      </w:tr>
      <w:tr>
        <w:trPr>
          <w:cantSplit w:val="off"/>
        </w:trPr>
        <w:tc>
          <w:tcPr>
            <w:tcW w:type="dxa" w:w="1735"/>
            <w:tcMar>
              <w:top w:type="dxa" w:w="60"/>
              <w:left w:type="dxa" w:w="90"/>
              <w:bottom w:type="dxa" w:w="60"/>
              <w:right w:type="dxa" w:w="90"/>
            </w:tcMar>
          </w:tcPr>
          <w:p>
            <w:pPr>
              <w:spacing w:after="40"/>
            </w:pPr>
            <w:r>
              <w:rPr>
                <w:sz w:val="18"/>
                <w:szCs w:val="18"/>
              </w:rPr>
              <w:t xml:space="preserve">External verification (1)</w:t>
            </w:r>
          </w:p>
        </w:tc>
        <w:tc>
          <w:tcPr>
            <w:tcW w:type="dxa" w:w="2120"/>
            <w:tcMar>
              <w:top w:type="dxa" w:w="60"/>
              <w:left w:type="dxa" w:w="90"/>
              <w:bottom w:type="dxa" w:w="60"/>
              <w:right w:type="dxa" w:w="90"/>
            </w:tcMar>
          </w:tcPr>
          <w:p>
            <w:pPr>
              <w:spacing w:after="40"/>
            </w:pPr>
            <w:r>
              <w:rPr>
                <w:sz w:val="18"/>
                <w:szCs w:val="18"/>
              </w:rPr>
              <w:t xml:space="preserve">Second-party opinion or post-issuance report, labelled pairs</w:t>
            </w:r>
          </w:p>
        </w:tc>
        <w:tc>
          <w:tcPr>
            <w:tcW w:type="dxa" w:w="1349"/>
            <w:tcMar>
              <w:top w:type="dxa" w:w="60"/>
              <w:left w:type="dxa" w:w="90"/>
              <w:bottom w:type="dxa" w:w="60"/>
              <w:right w:type="dxa" w:w="90"/>
            </w:tcMar>
          </w:tcPr>
          <w:p>
            <w:pPr>
              <w:spacing w:after="40"/>
            </w:pPr>
            <w:r>
              <w:rPr>
                <w:sz w:val="18"/>
                <w:szCs w:val="18"/>
              </w:rPr>
              <w:t xml:space="preserve">− (larger greenium)</w:t>
            </w:r>
          </w:p>
        </w:tc>
        <w:tc>
          <w:tcPr>
            <w:tcW w:type="dxa" w:w="4434"/>
            <w:tcMar>
              <w:top w:type="dxa" w:w="60"/>
              <w:left w:type="dxa" w:w="90"/>
              <w:bottom w:type="dxa" w:w="60"/>
              <w:right w:type="dxa" w:w="90"/>
            </w:tcMar>
          </w:tcPr>
          <w:p>
            <w:pPr>
              <w:spacing w:after="40"/>
            </w:pPr>
            <w:r>
              <w:rPr>
                <w:sz w:val="18"/>
                <w:szCs w:val="18"/>
              </w:rPr>
              <w:t xml:space="preserve">The greenium rises with external review or certification (Dorfleitner et al., 2021; Fatica et al., 2021; Sun et al., 2022; Sheng et al., 2021).</w:t>
            </w:r>
          </w:p>
        </w:tc>
      </w:tr>
      <w:tr>
        <w:trPr>
          <w:cantSplit w:val="off"/>
        </w:trPr>
        <w:tc>
          <w:tcPr>
            <w:tcW w:type="dxa" w:w="1735"/>
            <w:tcMar>
              <w:top w:type="dxa" w:w="60"/>
              <w:left w:type="dxa" w:w="90"/>
              <w:bottom w:type="dxa" w:w="60"/>
              <w:right w:type="dxa" w:w="90"/>
            </w:tcMar>
          </w:tcPr>
          <w:p>
            <w:pPr>
              <w:spacing w:after="40"/>
            </w:pPr>
            <w:r>
              <w:rPr>
                <w:sz w:val="18"/>
                <w:szCs w:val="18"/>
              </w:rPr>
              <w:t xml:space="preserve">Issuer type (1)</w:t>
            </w:r>
          </w:p>
        </w:tc>
        <w:tc>
          <w:tcPr>
            <w:tcW w:type="dxa" w:w="2120"/>
            <w:tcMar>
              <w:top w:type="dxa" w:w="60"/>
              <w:left w:type="dxa" w:w="90"/>
              <w:bottom w:type="dxa" w:w="60"/>
              <w:right w:type="dxa" w:w="90"/>
            </w:tcMar>
          </w:tcPr>
          <w:p>
            <w:pPr>
              <w:spacing w:after="40"/>
            </w:pPr>
            <w:r>
              <w:rPr>
                <w:sz w:val="18"/>
                <w:szCs w:val="18"/>
              </w:rPr>
              <w:t xml:space="preserve">Sovereign or state-linked; financial</w:t>
            </w:r>
          </w:p>
        </w:tc>
        <w:tc>
          <w:tcPr>
            <w:tcW w:type="dxa" w:w="1349"/>
            <w:tcMar>
              <w:top w:type="dxa" w:w="60"/>
              <w:left w:type="dxa" w:w="90"/>
              <w:bottom w:type="dxa" w:w="60"/>
              <w:right w:type="dxa" w:w="90"/>
            </w:tcMar>
          </w:tcPr>
          <w:p>
            <w:pPr>
              <w:spacing w:after="40"/>
            </w:pPr>
            <w:r>
              <w:rPr>
                <w:sz w:val="18"/>
                <w:szCs w:val="18"/>
              </w:rPr>
              <w:t xml:space="preserve">Sovereign/state: −. Financial: mixed</w:t>
            </w:r>
          </w:p>
        </w:tc>
        <w:tc>
          <w:tcPr>
            <w:tcW w:type="dxa" w:w="4434"/>
            <w:tcMar>
              <w:top w:type="dxa" w:w="60"/>
              <w:left w:type="dxa" w:w="90"/>
              <w:bottom w:type="dxa" w:w="60"/>
              <w:right w:type="dxa" w:w="90"/>
            </w:tcMar>
          </w:tcPr>
          <w:p>
            <w:pPr>
              <w:spacing w:after="40"/>
            </w:pPr>
            <w:r>
              <w:rPr>
                <w:sz w:val="18"/>
                <w:szCs w:val="18"/>
              </w:rPr>
              <w:t xml:space="preserve">The greenium is larger for supranational, state-owned and non-corporate issuers (Hinsche, 2022; Sheng et al., 2021; Lehkonen et al., 2025). For financials: none (Fatica et al., 2021; Sun et al., 2022) vs larger (Sheng et al., 2021; Dorfleitner et al., 2021).</w:t>
            </w:r>
          </w:p>
        </w:tc>
      </w:tr>
      <w:tr>
        <w:trPr>
          <w:cantSplit w:val="off"/>
        </w:trPr>
        <w:tc>
          <w:tcPr>
            <w:tcW w:type="dxa" w:w="1735"/>
            <w:tcMar>
              <w:top w:type="dxa" w:w="60"/>
              <w:left w:type="dxa" w:w="90"/>
              <w:bottom w:type="dxa" w:w="60"/>
              <w:right w:type="dxa" w:w="90"/>
            </w:tcMar>
          </w:tcPr>
          <w:p>
            <w:pPr>
              <w:spacing w:after="40"/>
            </w:pPr>
            <w:r>
              <w:rPr>
                <w:sz w:val="18"/>
                <w:szCs w:val="18"/>
              </w:rPr>
              <w:t xml:space="preserve">Sovereign sukuk control (1)</w:t>
            </w:r>
          </w:p>
        </w:tc>
        <w:tc>
          <w:tcPr>
            <w:tcW w:type="dxa" w:w="2120"/>
            <w:tcMar>
              <w:top w:type="dxa" w:w="60"/>
              <w:left w:type="dxa" w:w="90"/>
              <w:bottom w:type="dxa" w:w="60"/>
              <w:right w:type="dxa" w:w="90"/>
            </w:tcMar>
          </w:tcPr>
          <w:p>
            <w:pPr>
              <w:spacing w:after="40"/>
            </w:pPr>
            <w:r>
              <w:rPr>
                <w:sz w:val="18"/>
                <w:szCs w:val="18"/>
              </w:rPr>
              <w:t xml:space="preserve">Control leg is a sovereign sukuk</w:t>
            </w:r>
          </w:p>
        </w:tc>
        <w:tc>
          <w:tcPr>
            <w:tcW w:type="dxa" w:w="1349"/>
            <w:tcMar>
              <w:top w:type="dxa" w:w="60"/>
              <w:left w:type="dxa" w:w="90"/>
              <w:bottom w:type="dxa" w:w="60"/>
              <w:right w:type="dxa" w:w="90"/>
            </w:tcMar>
          </w:tcPr>
          <w:p>
            <w:pPr>
              <w:spacing w:after="40"/>
            </w:pPr>
            <w:r>
              <w:rPr>
                <w:sz w:val="18"/>
                <w:szCs w:val="18"/>
              </w:rPr>
              <w:t xml:space="preserve">−</w:t>
            </w:r>
          </w:p>
        </w:tc>
        <w:tc>
          <w:tcPr>
            <w:tcW w:type="dxa" w:w="4434"/>
            <w:tcMar>
              <w:top w:type="dxa" w:w="60"/>
              <w:left w:type="dxa" w:w="90"/>
              <w:bottom w:type="dxa" w:w="60"/>
              <w:right w:type="dxa" w:w="90"/>
            </w:tcMar>
          </w:tcPr>
          <w:p>
            <w:pPr>
              <w:spacing w:after="40"/>
            </w:pPr>
            <w:r>
              <w:rPr>
                <w:sz w:val="18"/>
                <w:szCs w:val="18"/>
              </w:rPr>
              <w:t xml:space="preserve">Sovereign sukuk yield more than comparable conventional bonds (Ariff et al., 2017; Asmuni &amp; Tan, 2020), which raises the control yield.</w:t>
            </w:r>
          </w:p>
        </w:tc>
      </w:tr>
      <w:tr>
        <w:trPr>
          <w:cantSplit w:val="off"/>
        </w:trPr>
        <w:tc>
          <w:tcPr>
            <w:tcW w:type="dxa" w:w="1735"/>
            <w:tcMar>
              <w:top w:type="dxa" w:w="60"/>
              <w:left w:type="dxa" w:w="90"/>
              <w:bottom w:type="dxa" w:w="60"/>
              <w:right w:type="dxa" w:w="90"/>
            </w:tcMar>
          </w:tcPr>
          <w:p>
            <w:pPr>
              <w:spacing w:after="40"/>
            </w:pPr>
            <w:r>
              <w:rPr>
                <w:sz w:val="18"/>
                <w:szCs w:val="18"/>
              </w:rPr>
              <w:t xml:space="preserve">Post-2022 period (2)</w:t>
            </w:r>
          </w:p>
        </w:tc>
        <w:tc>
          <w:tcPr>
            <w:tcW w:type="dxa" w:w="2120"/>
            <w:tcMar>
              <w:top w:type="dxa" w:w="60"/>
              <w:left w:type="dxa" w:w="90"/>
              <w:bottom w:type="dxa" w:w="60"/>
              <w:right w:type="dxa" w:w="90"/>
            </w:tcMar>
          </w:tcPr>
          <w:p>
            <w:pPr>
              <w:spacing w:after="40"/>
            </w:pPr>
            <w:r>
              <w:rPr>
                <w:sz w:val="18"/>
                <w:szCs w:val="18"/>
              </w:rPr>
              <w:t xml:space="preserve">Dummy for 2023 onward × labelled</w:t>
            </w:r>
          </w:p>
        </w:tc>
        <w:tc>
          <w:tcPr>
            <w:tcW w:type="dxa" w:w="1349"/>
            <w:tcMar>
              <w:top w:type="dxa" w:w="60"/>
              <w:left w:type="dxa" w:w="90"/>
              <w:bottom w:type="dxa" w:w="60"/>
              <w:right w:type="dxa" w:w="90"/>
            </w:tcMar>
          </w:tcPr>
          <w:p>
            <w:pPr>
              <w:spacing w:after="40"/>
            </w:pPr>
            <w:r>
              <w:rPr>
                <w:sz w:val="18"/>
                <w:szCs w:val="18"/>
              </w:rPr>
              <w:t xml:space="preserve">+ (greenium shrinks or reverses)</w:t>
            </w:r>
          </w:p>
        </w:tc>
        <w:tc>
          <w:tcPr>
            <w:tcW w:type="dxa" w:w="4434"/>
            <w:tcMar>
              <w:top w:type="dxa" w:w="60"/>
              <w:left w:type="dxa" w:w="90"/>
              <w:bottom w:type="dxa" w:w="60"/>
              <w:right w:type="dxa" w:w="90"/>
            </w:tcMar>
          </w:tcPr>
          <w:p>
            <w:pPr>
              <w:spacing w:after="40"/>
            </w:pPr>
            <w:r>
              <w:rPr>
                <w:sz w:val="18"/>
                <w:szCs w:val="18"/>
              </w:rPr>
              <w:t xml:space="preserve">The corporate greenium reversed from 2023 (Wollny et al., 2026) and has been shrinking (Lehkonen et al., 2025).</w:t>
            </w:r>
          </w:p>
        </w:tc>
      </w:tr>
    </w:tbl>
    <w:p>
      <w:pPr>
        <w:spacing w:after="60"/>
      </w:pPr>
    </w:p>
    <w:p>
      <w:pPr>
        <w:spacing w:after="120" w:line="276"/>
      </w:pPr>
      <w:r>
        <w:rPr>
          <w:b/>
          <w:bCs/>
        </w:rPr>
        <w:t xml:space="preserve">Keep the model small.</w:t>
      </w:r>
      <w:r>
        <w:t xml:space="preserve"> Do not include every row. For Step 1, I suggest: credit gap, liquidity gap, issuer type, sovereign-control dummy, and verification (labelled pairs only). For Step 2: liquidity gap, time to first call, and AT1 × March 2023. State the expected signs in Chapter 3 before you estimate.</w:t>
      </w:r>
    </w:p>
    <w:p>
      <w:pPr>
        <w:pStyle w:val="Heading2"/>
      </w:pPr>
      <w:r>
        <w:t xml:space="preserve">References</w:t>
      </w:r>
    </w:p>
    <w:p>
      <w:pPr>
        <w:spacing w:after="70"/>
        <w:ind w:left="567" w:hanging="567"/>
      </w:pPr>
      <w:r>
        <w:rPr>
          <w:sz w:val="19"/>
          <w:szCs w:val="19"/>
        </w:rPr>
        <w:t xml:space="preserve">Abadie, A., &amp; Imbens, G. W. (2011). Bias-corrected matching estimators for average treatment effects. </w:t>
      </w:r>
      <w:r>
        <w:rPr>
          <w:i/>
          <w:iCs/>
          <w:sz w:val="19"/>
          <w:szCs w:val="19"/>
        </w:rPr>
        <w:t xml:space="preserve">Journal of Business &amp; Economic Statistics, 29</w:t>
      </w:r>
      <w:r>
        <w:rPr>
          <w:sz w:val="19"/>
          <w:szCs w:val="19"/>
        </w:rPr>
        <w:t xml:space="preserve">(1), 1–11. https://doi.org/10.1198/jbes.2009.07333</w:t>
      </w:r>
    </w:p>
    <w:p>
      <w:pPr>
        <w:spacing w:after="70"/>
        <w:ind w:left="567" w:hanging="567"/>
      </w:pPr>
      <w:r>
        <w:rPr>
          <w:sz w:val="19"/>
          <w:szCs w:val="19"/>
        </w:rPr>
        <w:t xml:space="preserve">Abadie, A., Athey, S., Imbens, G. W., &amp; Wooldridge, J. M. (2023). When should you adjust standard errors for clustering? </w:t>
      </w:r>
      <w:r>
        <w:rPr>
          <w:i/>
          <w:iCs/>
          <w:sz w:val="19"/>
          <w:szCs w:val="19"/>
        </w:rPr>
        <w:t xml:space="preserve">The Quarterly Journal of Economics, 138</w:t>
      </w:r>
      <w:r>
        <w:rPr>
          <w:sz w:val="19"/>
          <w:szCs w:val="19"/>
        </w:rPr>
        <w:t xml:space="preserve">(1), 1–35. https://doi.org/10.1093/qje/qjac038</w:t>
      </w:r>
    </w:p>
    <w:p>
      <w:pPr>
        <w:spacing w:after="70"/>
        <w:ind w:left="567" w:hanging="567"/>
      </w:pPr>
      <w:r>
        <w:rPr>
          <w:sz w:val="19"/>
          <w:szCs w:val="19"/>
        </w:rPr>
        <w:t xml:space="preserve">Alkadi, R. S. (2024). Towards a sustainable future: A comprehensive review of green sukuk. </w:t>
      </w:r>
      <w:r>
        <w:rPr>
          <w:i/>
          <w:iCs/>
          <w:sz w:val="19"/>
          <w:szCs w:val="19"/>
        </w:rPr>
        <w:t xml:space="preserve">Review of Accounting and Finance, 23</w:t>
      </w:r>
      <w:r>
        <w:rPr>
          <w:sz w:val="19"/>
          <w:szCs w:val="19"/>
        </w:rPr>
        <w:t xml:space="preserve">(4), 467–488. https://doi.org/10.1108/RAF-03-2023-0105</w:t>
      </w:r>
    </w:p>
    <w:p>
      <w:pPr>
        <w:spacing w:after="70"/>
        <w:ind w:left="567" w:hanging="567"/>
      </w:pPr>
      <w:r>
        <w:rPr>
          <w:sz w:val="19"/>
          <w:szCs w:val="19"/>
        </w:rPr>
        <w:t xml:space="preserve">Ariff, M., Chazi, A., Safari, M., &amp; Zarei, A. (2017). Significant difference in the yields of sukuk bonds versus conventional bonds. </w:t>
      </w:r>
      <w:r>
        <w:rPr>
          <w:i/>
          <w:iCs/>
          <w:sz w:val="19"/>
          <w:szCs w:val="19"/>
        </w:rPr>
        <w:t xml:space="preserve">Journal of Emerging Market Finance, 16</w:t>
      </w:r>
      <w:r>
        <w:rPr>
          <w:sz w:val="19"/>
          <w:szCs w:val="19"/>
        </w:rPr>
        <w:t xml:space="preserve">(2), 115–135. https://doi.org/10.1177/0972652717712352</w:t>
      </w:r>
    </w:p>
    <w:p>
      <w:pPr>
        <w:spacing w:after="70"/>
        <w:ind w:left="567" w:hanging="567"/>
      </w:pPr>
      <w:r>
        <w:rPr>
          <w:sz w:val="19"/>
          <w:szCs w:val="19"/>
        </w:rPr>
        <w:t xml:space="preserve">Asmuni, N. H., &amp; Tan, K. S. (2020). Exploring the yield spread between sukuk and conventional bonds in Malaysia. </w:t>
      </w:r>
      <w:r>
        <w:rPr>
          <w:i/>
          <w:iCs/>
          <w:sz w:val="19"/>
          <w:szCs w:val="19"/>
        </w:rPr>
        <w:t xml:space="preserve">Journal of Emerging Market Finance, 20</w:t>
      </w:r>
      <w:r>
        <w:rPr>
          <w:sz w:val="19"/>
          <w:szCs w:val="19"/>
        </w:rPr>
        <w:t xml:space="preserve">(2), 165–191. https://doi.org/10.1177/0972652720969519</w:t>
      </w:r>
    </w:p>
    <w:p>
      <w:pPr>
        <w:spacing w:after="70"/>
        <w:ind w:left="567" w:hanging="567"/>
      </w:pPr>
      <w:r>
        <w:rPr>
          <w:sz w:val="19"/>
          <w:szCs w:val="19"/>
        </w:rPr>
        <w:t xml:space="preserve">Auzepy, A., Bannier, C. E., &amp; Martin, F. (2023). Are sustainability-linked loans designed to effectively incentivize corporate sustainability? A framework for review. </w:t>
      </w:r>
      <w:r>
        <w:rPr>
          <w:i/>
          <w:iCs/>
          <w:sz w:val="19"/>
          <w:szCs w:val="19"/>
        </w:rPr>
        <w:t xml:space="preserve">Financial Management, 52</w:t>
      </w:r>
      <w:r>
        <w:rPr>
          <w:sz w:val="19"/>
          <w:szCs w:val="19"/>
        </w:rPr>
        <w:t xml:space="preserve">(4), 643–675. https://doi.org/10.1111/fima.12437</w:t>
      </w:r>
    </w:p>
    <w:p>
      <w:pPr>
        <w:spacing w:after="70"/>
        <w:ind w:left="567" w:hanging="567"/>
      </w:pPr>
      <w:r>
        <w:rPr>
          <w:sz w:val="19"/>
          <w:szCs w:val="19"/>
        </w:rPr>
        <w:t xml:space="preserve">Bachelet, M. J., Becchetti, L., &amp; Manfredonia, S. (2019). The green bonds premium puzzle: The role of issuer characteristics and third-party verification. </w:t>
      </w:r>
      <w:r>
        <w:rPr>
          <w:i/>
          <w:iCs/>
          <w:sz w:val="19"/>
          <w:szCs w:val="19"/>
        </w:rPr>
        <w:t xml:space="preserve">Sustainability, 11</w:t>
      </w:r>
      <w:r>
        <w:rPr>
          <w:sz w:val="19"/>
          <w:szCs w:val="19"/>
        </w:rPr>
        <w:t xml:space="preserve">(4), 1098. https://doi.org/10.3390/su11041098</w:t>
      </w:r>
    </w:p>
    <w:p>
      <w:pPr>
        <w:spacing w:after="70"/>
        <w:ind w:left="567" w:hanging="567"/>
      </w:pPr>
      <w:r>
        <w:rPr>
          <w:sz w:val="19"/>
          <w:szCs w:val="19"/>
        </w:rPr>
        <w:t xml:space="preserve">Baker, M., Bergstresser, D., Serafeim, G., &amp; Wurgler, J. (2022). The pricing and ownership of US green bonds. </w:t>
      </w:r>
      <w:r>
        <w:rPr>
          <w:i/>
          <w:iCs/>
          <w:sz w:val="19"/>
          <w:szCs w:val="19"/>
        </w:rPr>
        <w:t xml:space="preserve">Annual Review of Financial Economics, 14</w:t>
      </w:r>
      <w:r>
        <w:rPr>
          <w:sz w:val="19"/>
          <w:szCs w:val="19"/>
        </w:rPr>
        <w:t xml:space="preserve">, 415–437. https://doi.org/10.1146/annurev-financial-111620-014802</w:t>
      </w:r>
    </w:p>
    <w:p>
      <w:pPr>
        <w:spacing w:after="70"/>
        <w:ind w:left="567" w:hanging="567"/>
      </w:pPr>
      <w:r>
        <w:rPr>
          <w:sz w:val="19"/>
          <w:szCs w:val="19"/>
        </w:rPr>
        <w:t xml:space="preserve">Becker, B., Campello, M., Thell, V., &amp; Yan, D. (2024). Credit risk, debt overhang, and the life cycle of callable bonds. </w:t>
      </w:r>
      <w:r>
        <w:rPr>
          <w:i/>
          <w:iCs/>
          <w:sz w:val="19"/>
          <w:szCs w:val="19"/>
        </w:rPr>
        <w:t xml:space="preserve">Review of Finance, 28</w:t>
      </w:r>
      <w:r>
        <w:rPr>
          <w:sz w:val="19"/>
          <w:szCs w:val="19"/>
        </w:rPr>
        <w:t xml:space="preserve">(3), 945–985. https://doi.org/10.1093/rof/rfae001</w:t>
      </w:r>
    </w:p>
    <w:p>
      <w:pPr>
        <w:spacing w:after="70"/>
        <w:ind w:left="567" w:hanging="567"/>
      </w:pPr>
      <w:r>
        <w:rPr>
          <w:sz w:val="19"/>
          <w:szCs w:val="19"/>
        </w:rPr>
        <w:t xml:space="preserve">Bolton, P., Jiang, W., &amp; Kartasheva, A. V. (2023). The Credit Suisse CoCo wipeout: Facts, misperceptions, and lessons for financial regulation. </w:t>
      </w:r>
      <w:r>
        <w:rPr>
          <w:i/>
          <w:iCs/>
          <w:sz w:val="19"/>
          <w:szCs w:val="19"/>
        </w:rPr>
        <w:t xml:space="preserve">Journal of Applied Corporate Finance, 35</w:t>
      </w:r>
      <w:r>
        <w:rPr>
          <w:sz w:val="19"/>
          <w:szCs w:val="19"/>
        </w:rPr>
        <w:t xml:space="preserve">(2), 66–74. https://doi.org/10.1111/jacf.12553</w:t>
      </w:r>
    </w:p>
    <w:p>
      <w:pPr>
        <w:spacing w:after="70"/>
        <w:ind w:left="567" w:hanging="567"/>
      </w:pPr>
      <w:r>
        <w:rPr>
          <w:sz w:val="19"/>
          <w:szCs w:val="19"/>
        </w:rPr>
        <w:t xml:space="preserve">Booth, L., Gounopoulos, D., &amp; Skinner, F. S. (2014). The choice between callable and noncallable bonds. </w:t>
      </w:r>
      <w:r>
        <w:rPr>
          <w:i/>
          <w:iCs/>
          <w:sz w:val="19"/>
          <w:szCs w:val="19"/>
        </w:rPr>
        <w:t xml:space="preserve">Journal of Financial Research, 37</w:t>
      </w:r>
      <w:r>
        <w:rPr>
          <w:sz w:val="19"/>
          <w:szCs w:val="19"/>
        </w:rPr>
        <w:t xml:space="preserve">(4), 435–460. https://doi.org/10.1111/jfir.12042</w:t>
      </w:r>
    </w:p>
    <w:p>
      <w:pPr>
        <w:spacing w:after="70"/>
        <w:ind w:left="567" w:hanging="567"/>
      </w:pPr>
      <w:r>
        <w:rPr>
          <w:sz w:val="19"/>
          <w:szCs w:val="19"/>
        </w:rPr>
        <w:t xml:space="preserve">Cameron, A. C., Gelbach, J. B., &amp; Miller, D. L. (2008). Bootstrap-based improvements for inference with clustered errors. </w:t>
      </w:r>
      <w:r>
        <w:rPr>
          <w:i/>
          <w:iCs/>
          <w:sz w:val="19"/>
          <w:szCs w:val="19"/>
        </w:rPr>
        <w:t xml:space="preserve">The Review of Economics and Statistics, 90</w:t>
      </w:r>
      <w:r>
        <w:rPr>
          <w:sz w:val="19"/>
          <w:szCs w:val="19"/>
        </w:rPr>
        <w:t xml:space="preserve">(3), 414–427. https://doi.org/10.1162/rest.90.3.414</w:t>
      </w:r>
    </w:p>
    <w:p>
      <w:pPr>
        <w:spacing w:after="70"/>
        <w:ind w:left="567" w:hanging="567"/>
      </w:pPr>
      <w:r>
        <w:rPr>
          <w:sz w:val="19"/>
          <w:szCs w:val="19"/>
        </w:rPr>
        <w:t xml:space="preserve">Canay, I. A., Romano, J. P., &amp; Shaikh, A. M. (2017). Randomization tests under an approximate symmetry assumption. </w:t>
      </w:r>
      <w:r>
        <w:rPr>
          <w:i/>
          <w:iCs/>
          <w:sz w:val="19"/>
          <w:szCs w:val="19"/>
        </w:rPr>
        <w:t xml:space="preserve">Econometrica, 85</w:t>
      </w:r>
      <w:r>
        <w:rPr>
          <w:sz w:val="19"/>
          <w:szCs w:val="19"/>
        </w:rPr>
        <w:t xml:space="preserve">(3), 1013–1030. https://doi.org/10.3982/ECTA13081</w:t>
      </w:r>
    </w:p>
    <w:p>
      <w:pPr>
        <w:spacing w:after="70"/>
        <w:ind w:left="567" w:hanging="567"/>
      </w:pPr>
      <w:r>
        <w:rPr>
          <w:sz w:val="19"/>
          <w:szCs w:val="19"/>
        </w:rPr>
        <w:t xml:space="preserve">Dorfleitner, G., Utz, S., &amp; Zhang, R. (2021). The pricing of green bonds: External reviews and the shades of green. </w:t>
      </w:r>
      <w:r>
        <w:rPr>
          <w:i/>
          <w:iCs/>
          <w:sz w:val="19"/>
          <w:szCs w:val="19"/>
        </w:rPr>
        <w:t xml:space="preserve">Review of Managerial Science, 16</w:t>
      </w:r>
      <w:r>
        <w:rPr>
          <w:sz w:val="19"/>
          <w:szCs w:val="19"/>
        </w:rPr>
        <w:t xml:space="preserve">(3), 797–834. https://doi.org/10.1007/s11846-021-00458-9</w:t>
      </w:r>
    </w:p>
    <w:p>
      <w:pPr>
        <w:spacing w:after="70"/>
        <w:ind w:left="567" w:hanging="567"/>
      </w:pPr>
      <w:r>
        <w:rPr>
          <w:sz w:val="19"/>
          <w:szCs w:val="19"/>
        </w:rPr>
        <w:t xml:space="preserve">Elkamhi, R., Ericsson, J., &amp; Wang, H. (2012). What risks do corporate bond put features insure against? </w:t>
      </w:r>
      <w:r>
        <w:rPr>
          <w:i/>
          <w:iCs/>
          <w:sz w:val="19"/>
          <w:szCs w:val="19"/>
        </w:rPr>
        <w:t xml:space="preserve">Journal of Futures Markets, 32</w:t>
      </w:r>
      <w:r>
        <w:rPr>
          <w:sz w:val="19"/>
          <w:szCs w:val="19"/>
        </w:rPr>
        <w:t xml:space="preserve">(11), 1060–1090. https://doi.org/10.1002/fut.20546</w:t>
      </w:r>
    </w:p>
    <w:p>
      <w:pPr>
        <w:spacing w:after="70"/>
        <w:ind w:left="567" w:hanging="567"/>
      </w:pPr>
      <w:r>
        <w:rPr>
          <w:sz w:val="19"/>
          <w:szCs w:val="19"/>
        </w:rPr>
        <w:t xml:space="preserve">Fama, E. F. (1970). Efficient capital markets: A review of theory and empirical work. </w:t>
      </w:r>
      <w:r>
        <w:rPr>
          <w:i/>
          <w:iCs/>
          <w:sz w:val="19"/>
          <w:szCs w:val="19"/>
        </w:rPr>
        <w:t xml:space="preserve">The Journal of Finance, 25</w:t>
      </w:r>
      <w:r>
        <w:rPr>
          <w:sz w:val="19"/>
          <w:szCs w:val="19"/>
        </w:rPr>
        <w:t xml:space="preserve">(2), 383–417. https://doi.org/10.2307/2325486</w:t>
      </w:r>
    </w:p>
    <w:p>
      <w:pPr>
        <w:spacing w:after="70"/>
        <w:ind w:left="567" w:hanging="567"/>
      </w:pPr>
      <w:r>
        <w:rPr>
          <w:sz w:val="19"/>
          <w:szCs w:val="19"/>
        </w:rPr>
        <w:t xml:space="preserve">Fandella, P., &amp; Cociancich, V. (2024). Uncovering the greenium: Investigating the yield spread between green and conventional bonds. </w:t>
      </w:r>
      <w:r>
        <w:rPr>
          <w:i/>
          <w:iCs/>
          <w:sz w:val="19"/>
          <w:szCs w:val="19"/>
        </w:rPr>
        <w:t xml:space="preserve">Investment Management and Financial Innovations, 21</w:t>
      </w:r>
      <w:r>
        <w:rPr>
          <w:sz w:val="19"/>
          <w:szCs w:val="19"/>
        </w:rPr>
        <w:t xml:space="preserve">(2), 56–69. https://doi.org/10.21511/imfi.21(2).2024.05</w:t>
      </w:r>
    </w:p>
    <w:p>
      <w:pPr>
        <w:spacing w:after="70"/>
        <w:ind w:left="567" w:hanging="567"/>
      </w:pPr>
      <w:r>
        <w:rPr>
          <w:sz w:val="19"/>
          <w:szCs w:val="19"/>
        </w:rPr>
        <w:t xml:space="preserve">Fatica, S., Panzica, R., &amp; Rancan, M. (2021). The pricing of green bonds: Are financial institutions special? </w:t>
      </w:r>
      <w:r>
        <w:rPr>
          <w:i/>
          <w:iCs/>
          <w:sz w:val="19"/>
          <w:szCs w:val="19"/>
        </w:rPr>
        <w:t xml:space="preserve">Journal of Financial Stability, 54</w:t>
      </w:r>
      <w:r>
        <w:rPr>
          <w:sz w:val="19"/>
          <w:szCs w:val="19"/>
        </w:rPr>
        <w:t xml:space="preserve">, 100873. https://doi.org/10.1016/j.jfs.2021.100873</w:t>
      </w:r>
    </w:p>
    <w:p>
      <w:pPr>
        <w:spacing w:after="70"/>
        <w:ind w:left="567" w:hanging="567"/>
      </w:pPr>
      <w:r>
        <w:rPr>
          <w:sz w:val="19"/>
          <w:szCs w:val="19"/>
        </w:rPr>
        <w:t xml:space="preserve">Grishunin, S., Bukreeva, A., &amp; Suloeva, S. (2023). Analysis of yields and their determinants in the European corporate green bond market. </w:t>
      </w:r>
      <w:r>
        <w:rPr>
          <w:i/>
          <w:iCs/>
          <w:sz w:val="19"/>
          <w:szCs w:val="19"/>
        </w:rPr>
        <w:t xml:space="preserve">Risks, 11</w:t>
      </w:r>
      <w:r>
        <w:rPr>
          <w:sz w:val="19"/>
          <w:szCs w:val="19"/>
        </w:rPr>
        <w:t xml:space="preserve">(1), 14. https://doi.org/10.3390/risks11010014</w:t>
      </w:r>
    </w:p>
    <w:p>
      <w:pPr>
        <w:spacing w:after="70"/>
        <w:ind w:left="567" w:hanging="567"/>
      </w:pPr>
      <w:r>
        <w:rPr>
          <w:sz w:val="19"/>
          <w:szCs w:val="19"/>
        </w:rPr>
        <w:t xml:space="preserve">Harvey, C. R. (2017). Presidential address: The scientific outlook in financial economics. </w:t>
      </w:r>
      <w:r>
        <w:rPr>
          <w:i/>
          <w:iCs/>
          <w:sz w:val="19"/>
          <w:szCs w:val="19"/>
        </w:rPr>
        <w:t xml:space="preserve">The Journal of Finance, 72</w:t>
      </w:r>
      <w:r>
        <w:rPr>
          <w:sz w:val="19"/>
          <w:szCs w:val="19"/>
        </w:rPr>
        <w:t xml:space="preserve">(4), 1399–1440. https://doi.org/10.1111/jofi.12530</w:t>
      </w:r>
    </w:p>
    <w:p>
      <w:pPr>
        <w:spacing w:after="70"/>
        <w:ind w:left="567" w:hanging="567"/>
      </w:pPr>
      <w:r>
        <w:rPr>
          <w:sz w:val="19"/>
          <w:szCs w:val="19"/>
        </w:rPr>
        <w:t xml:space="preserve">Hinsche, I. C. (2022). A greenium for the Next Generation EU green bonds: Analysis of a potential green bond premium and its drivers [Working paper]. SSRN. https://doi.org/10.2139/ssrn.3965664</w:t>
      </w:r>
    </w:p>
    <w:p>
      <w:pPr>
        <w:spacing w:after="70"/>
        <w:ind w:left="567" w:hanging="567"/>
      </w:pPr>
      <w:r>
        <w:rPr>
          <w:sz w:val="19"/>
          <w:szCs w:val="19"/>
        </w:rPr>
        <w:t xml:space="preserve">Hoenig, J. M., &amp; Heisey, D. M. (2001). The abuse of power: The pervasive fallacy of power calculations for data analysis. </w:t>
      </w:r>
      <w:r>
        <w:rPr>
          <w:i/>
          <w:iCs/>
          <w:sz w:val="19"/>
          <w:szCs w:val="19"/>
        </w:rPr>
        <w:t xml:space="preserve">The American Statistician, 55</w:t>
      </w:r>
      <w:r>
        <w:rPr>
          <w:sz w:val="19"/>
          <w:szCs w:val="19"/>
        </w:rPr>
        <w:t xml:space="preserve">(1), 19–24. https://doi.org/10.1198/000313001300339897</w:t>
      </w:r>
    </w:p>
    <w:p>
      <w:pPr>
        <w:spacing w:after="70"/>
        <w:ind w:left="567" w:hanging="567"/>
      </w:pPr>
      <w:r>
        <w:rPr>
          <w:sz w:val="19"/>
          <w:szCs w:val="19"/>
        </w:rPr>
        <w:t xml:space="preserve">Ivashchenko, A., &amp; Rockinger, M. (2026). Call me maybe: Corporate bond prices upon missed call opportunities. </w:t>
      </w:r>
      <w:r>
        <w:rPr>
          <w:i/>
          <w:iCs/>
          <w:sz w:val="19"/>
          <w:szCs w:val="19"/>
        </w:rPr>
        <w:t xml:space="preserve">Financial Management, 55</w:t>
      </w:r>
      <w:r>
        <w:rPr>
          <w:sz w:val="19"/>
          <w:szCs w:val="19"/>
        </w:rPr>
        <w:t xml:space="preserve">(1), 49–65. https://doi.org/10.1111/fima.12503</w:t>
      </w:r>
    </w:p>
    <w:p>
      <w:pPr>
        <w:spacing w:after="70"/>
        <w:ind w:left="567" w:hanging="567"/>
      </w:pPr>
      <w:r>
        <w:rPr>
          <w:sz w:val="19"/>
          <w:szCs w:val="19"/>
        </w:rPr>
        <w:t xml:space="preserve">Kalotay, A. J., Williams, G. O., &amp; Fabozzi, F. J. (1993). A model for valuing bonds and embedded options. </w:t>
      </w:r>
      <w:r>
        <w:rPr>
          <w:i/>
          <w:iCs/>
          <w:sz w:val="19"/>
          <w:szCs w:val="19"/>
        </w:rPr>
        <w:t xml:space="preserve">Financial Analysts Journal, 49</w:t>
      </w:r>
      <w:r>
        <w:rPr>
          <w:sz w:val="19"/>
          <w:szCs w:val="19"/>
        </w:rPr>
        <w:t xml:space="preserve">(3), 35–46. https://doi.org/10.2469/faj.v49.n3.35</w:t>
      </w:r>
    </w:p>
    <w:p>
      <w:pPr>
        <w:spacing w:after="70"/>
        <w:ind w:left="567" w:hanging="567"/>
      </w:pPr>
      <w:r>
        <w:rPr>
          <w:sz w:val="19"/>
          <w:szCs w:val="19"/>
        </w:rPr>
        <w:t xml:space="preserve">Kind, A., Oster, P., &amp; Peter, F. J. (2022). The determinants of banks’ AT1 CoCo spreads. </w:t>
      </w:r>
      <w:r>
        <w:rPr>
          <w:i/>
          <w:iCs/>
          <w:sz w:val="19"/>
          <w:szCs w:val="19"/>
        </w:rPr>
        <w:t xml:space="preserve">European Financial Management, 28</w:t>
      </w:r>
      <w:r>
        <w:rPr>
          <w:sz w:val="19"/>
          <w:szCs w:val="19"/>
        </w:rPr>
        <w:t xml:space="preserve">(2), 567–604. https://doi.org/10.1111/eufm.12314</w:t>
      </w:r>
    </w:p>
    <w:p>
      <w:pPr>
        <w:spacing w:after="70"/>
        <w:ind w:left="567" w:hanging="567"/>
      </w:pPr>
      <w:r>
        <w:rPr>
          <w:sz w:val="19"/>
          <w:szCs w:val="19"/>
        </w:rPr>
        <w:t xml:space="preserve">Lai, W. N., &amp; Lu, X. (2026). The green bond premium: Evidence from disclosure and synthetic counterfactuals [Working paper]. SSRN. https://doi.org/10.2139/ssrn.6501665</w:t>
      </w:r>
    </w:p>
    <w:p>
      <w:pPr>
        <w:spacing w:after="70"/>
        <w:ind w:left="567" w:hanging="567"/>
      </w:pPr>
      <w:r>
        <w:rPr>
          <w:sz w:val="19"/>
          <w:szCs w:val="19"/>
        </w:rPr>
        <w:t xml:space="preserve">Larcker, D. F., &amp; Watts, E. M. (2020). Where’s the greenium? </w:t>
      </w:r>
      <w:r>
        <w:rPr>
          <w:i/>
          <w:iCs/>
          <w:sz w:val="19"/>
          <w:szCs w:val="19"/>
        </w:rPr>
        <w:t xml:space="preserve">Journal of Accounting and Economics, 69</w:t>
      </w:r>
      <w:r>
        <w:rPr>
          <w:sz w:val="19"/>
          <w:szCs w:val="19"/>
        </w:rPr>
        <w:t xml:space="preserve">(2–3), 101312. https://doi.org/10.1016/j.jacceco.2020.101312</w:t>
      </w:r>
    </w:p>
    <w:p>
      <w:pPr>
        <w:spacing w:after="70"/>
        <w:ind w:left="567" w:hanging="567"/>
      </w:pPr>
      <w:r>
        <w:rPr>
          <w:sz w:val="19"/>
          <w:szCs w:val="19"/>
        </w:rPr>
        <w:t xml:space="preserve">Latif, A., Husodo, Z., &amp; Hendranastiti, N. D. (2026). Green sukuk and climate finance: Evidence from Indonesia [Working paper]. SSRN. https://doi.org/10.2139/ssrn.6169811</w:t>
      </w:r>
    </w:p>
    <w:p>
      <w:pPr>
        <w:spacing w:after="70"/>
        <w:ind w:left="567" w:hanging="567"/>
      </w:pPr>
      <w:r>
        <w:rPr>
          <w:sz w:val="19"/>
          <w:szCs w:val="19"/>
        </w:rPr>
        <w:t xml:space="preserve">Lehkonen, H., Heimonen, K., &amp; Simola, J. (2025). Dissipating green bond premium [Working paper]. SSRN. https://doi.org/10.2139/ssrn.5267279</w:t>
      </w:r>
    </w:p>
    <w:p>
      <w:pPr>
        <w:spacing w:after="70"/>
        <w:ind w:left="567" w:hanging="567"/>
      </w:pPr>
      <w:r>
        <w:rPr>
          <w:sz w:val="19"/>
          <w:szCs w:val="19"/>
        </w:rPr>
        <w:t xml:space="preserve">Löffler, K. U., Petreski, A., &amp; Stephan, A. (2021). Drivers of green bond issuance and new evidence on the “greenium”. </w:t>
      </w:r>
      <w:r>
        <w:rPr>
          <w:i/>
          <w:iCs/>
          <w:sz w:val="19"/>
          <w:szCs w:val="19"/>
        </w:rPr>
        <w:t xml:space="preserve">Eurasian Economic Review, 11</w:t>
      </w:r>
      <w:r>
        <w:rPr>
          <w:sz w:val="19"/>
          <w:szCs w:val="19"/>
        </w:rPr>
        <w:t xml:space="preserve">(1), 1–24. https://doi.org/10.1007/s40822-020-00165-y</w:t>
      </w:r>
    </w:p>
    <w:p>
      <w:pPr>
        <w:spacing w:after="70"/>
        <w:ind w:left="567" w:hanging="567"/>
      </w:pPr>
      <w:r>
        <w:rPr>
          <w:sz w:val="19"/>
          <w:szCs w:val="19"/>
        </w:rPr>
        <w:t xml:space="preserve">MacKinnon, J. G., &amp; Webb, M. D. (2017). Wild bootstrap inference for wildly different cluster sizes. </w:t>
      </w:r>
      <w:r>
        <w:rPr>
          <w:i/>
          <w:iCs/>
          <w:sz w:val="19"/>
          <w:szCs w:val="19"/>
        </w:rPr>
        <w:t xml:space="preserve">Journal of Applied Econometrics, 32</w:t>
      </w:r>
      <w:r>
        <w:rPr>
          <w:sz w:val="19"/>
          <w:szCs w:val="19"/>
        </w:rPr>
        <w:t xml:space="preserve">(2), 233–254. https://doi.org/10.1002/jae.2508</w:t>
      </w:r>
    </w:p>
    <w:p>
      <w:pPr>
        <w:spacing w:after="70"/>
        <w:ind w:left="567" w:hanging="567"/>
      </w:pPr>
      <w:r>
        <w:rPr>
          <w:sz w:val="19"/>
          <w:szCs w:val="19"/>
        </w:rPr>
        <w:t xml:space="preserve">Mundlak, Y. (1978). On the pooling of time series and cross section data. </w:t>
      </w:r>
      <w:r>
        <w:rPr>
          <w:i/>
          <w:iCs/>
          <w:sz w:val="19"/>
          <w:szCs w:val="19"/>
        </w:rPr>
        <w:t xml:space="preserve">Econometrica, 46</w:t>
      </w:r>
      <w:r>
        <w:rPr>
          <w:sz w:val="19"/>
          <w:szCs w:val="19"/>
        </w:rPr>
        <w:t xml:space="preserve">(1), 69–85. https://doi.org/10.2307/1913646</w:t>
      </w:r>
    </w:p>
    <w:p>
      <w:pPr>
        <w:spacing w:after="70"/>
        <w:ind w:left="567" w:hanging="567"/>
      </w:pPr>
      <w:r>
        <w:rPr>
          <w:sz w:val="19"/>
          <w:szCs w:val="19"/>
        </w:rPr>
        <w:t xml:space="preserve">Nasr, W. M. A., &amp; Hasan, A. (2024). Examining preference shares from the Shari’ah perspective: A systematic literature review. </w:t>
      </w:r>
      <w:r>
        <w:rPr>
          <w:i/>
          <w:iCs/>
          <w:sz w:val="19"/>
          <w:szCs w:val="19"/>
        </w:rPr>
        <w:t xml:space="preserve">International Journal of Islamic and Middle Eastern Finance and Management, 17</w:t>
      </w:r>
      <w:r>
        <w:rPr>
          <w:sz w:val="19"/>
          <w:szCs w:val="19"/>
        </w:rPr>
        <w:t xml:space="preserve">(4), 621–635. https://doi.org/10.1108/IMEFM-08-2023-0302</w:t>
      </w:r>
    </w:p>
    <w:p>
      <w:pPr>
        <w:spacing w:after="70"/>
        <w:ind w:left="567" w:hanging="567"/>
      </w:pPr>
      <w:r>
        <w:rPr>
          <w:sz w:val="19"/>
          <w:szCs w:val="19"/>
        </w:rPr>
        <w:t xml:space="preserve">Oktavio, L., &amp; Riyanti, R. S. (2021). Determinants of green bond premium in the ASEAN market amidst the COVID-19 pandemic. </w:t>
      </w:r>
      <w:r>
        <w:rPr>
          <w:i/>
          <w:iCs/>
          <w:sz w:val="19"/>
          <w:szCs w:val="19"/>
        </w:rPr>
        <w:t xml:space="preserve">Jurnal Keuangan dan Perbankan, 25</w:t>
      </w:r>
      <w:r>
        <w:rPr>
          <w:sz w:val="19"/>
          <w:szCs w:val="19"/>
        </w:rPr>
        <w:t xml:space="preserve">(4), 734–753. https://doi.org/10.26905/jkdp.v25i4.6356</w:t>
      </w:r>
    </w:p>
    <w:p>
      <w:pPr>
        <w:spacing w:after="70"/>
        <w:ind w:left="567" w:hanging="567"/>
      </w:pPr>
      <w:r>
        <w:rPr>
          <w:sz w:val="19"/>
          <w:szCs w:val="19"/>
        </w:rPr>
        <w:t xml:space="preserve">Oster, P. (2020). When all concern is gone: The impact of call provisions on gone-concern Tier 2 bond spreads in Europe. </w:t>
      </w:r>
      <w:r>
        <w:rPr>
          <w:i/>
          <w:iCs/>
          <w:sz w:val="19"/>
          <w:szCs w:val="19"/>
        </w:rPr>
        <w:t xml:space="preserve">The European Journal of Finance, 26</w:t>
      </w:r>
      <w:r>
        <w:rPr>
          <w:sz w:val="19"/>
          <w:szCs w:val="19"/>
        </w:rPr>
        <w:t xml:space="preserve">(15), 1529–1568. https://doi.org/10.1080/1351847X.2020.1750449</w:t>
      </w:r>
    </w:p>
    <w:p>
      <w:pPr>
        <w:spacing w:after="70"/>
        <w:ind w:left="567" w:hanging="567"/>
      </w:pPr>
      <w:r>
        <w:rPr>
          <w:sz w:val="19"/>
          <w:szCs w:val="19"/>
        </w:rPr>
        <w:t xml:space="preserve">Oude Lansink, A., &amp; Kapelko, M. (2025). Do sustainability-linked bonds pay lower interest rates? </w:t>
      </w:r>
      <w:r>
        <w:rPr>
          <w:i/>
          <w:iCs/>
          <w:sz w:val="19"/>
          <w:szCs w:val="19"/>
        </w:rPr>
        <w:t xml:space="preserve">Corporate Social Responsibility and Environmental Management, 32</w:t>
      </w:r>
      <w:r>
        <w:rPr>
          <w:sz w:val="19"/>
          <w:szCs w:val="19"/>
        </w:rPr>
        <w:t xml:space="preserve">(4), 5337–5347. https://doi.org/10.1002/csr.3246</w:t>
      </w:r>
    </w:p>
    <w:p>
      <w:pPr>
        <w:spacing w:after="70"/>
        <w:ind w:left="567" w:hanging="567"/>
      </w:pPr>
      <w:r>
        <w:rPr>
          <w:sz w:val="19"/>
          <w:szCs w:val="19"/>
        </w:rPr>
        <w:t xml:space="preserve">Powers, E. A., &amp; Tsyplakov, S. (2008). What is the cost of financial flexibility? Theory and evidence for make-whole call provisions. </w:t>
      </w:r>
      <w:r>
        <w:rPr>
          <w:i/>
          <w:iCs/>
          <w:sz w:val="19"/>
          <w:szCs w:val="19"/>
        </w:rPr>
        <w:t xml:space="preserve">Financial Management, 37</w:t>
      </w:r>
      <w:r>
        <w:rPr>
          <w:sz w:val="19"/>
          <w:szCs w:val="19"/>
        </w:rPr>
        <w:t xml:space="preserve">(3), 485–512. https://doi.org/10.1111/j.1755-053X.2008.00022.x</w:t>
      </w:r>
    </w:p>
    <w:p>
      <w:pPr>
        <w:spacing w:after="70"/>
        <w:ind w:left="567" w:hanging="567"/>
      </w:pPr>
      <w:r>
        <w:rPr>
          <w:sz w:val="19"/>
          <w:szCs w:val="19"/>
        </w:rPr>
        <w:t xml:space="preserve">Rubin, D. B. (2001). Using propensity scores to help design observational studies: Application to the tobacco litigation. </w:t>
      </w:r>
      <w:r>
        <w:rPr>
          <w:i/>
          <w:iCs/>
          <w:sz w:val="19"/>
          <w:szCs w:val="19"/>
        </w:rPr>
        <w:t xml:space="preserve">Health Services and Outcomes Research Methodology, 2</w:t>
      </w:r>
      <w:r>
        <w:rPr>
          <w:sz w:val="19"/>
          <w:szCs w:val="19"/>
        </w:rPr>
        <w:t xml:space="preserve">(3–4), 169–188. https://doi.org/10.1023/A:1020363010465</w:t>
      </w:r>
    </w:p>
    <w:p>
      <w:pPr>
        <w:spacing w:after="70"/>
        <w:ind w:left="567" w:hanging="567"/>
      </w:pPr>
      <w:r>
        <w:rPr>
          <w:sz w:val="19"/>
          <w:szCs w:val="19"/>
        </w:rPr>
        <w:t xml:space="preserve">Salhani, A., &amp; Mouselli, S. (2022). The impact of Tier 1 sukuk (Islamic bonds) on the profitability of UAE Islamic banks. </w:t>
      </w:r>
      <w:r>
        <w:rPr>
          <w:i/>
          <w:iCs/>
          <w:sz w:val="19"/>
          <w:szCs w:val="19"/>
        </w:rPr>
        <w:t xml:space="preserve">Journal of Financial Reporting and Accounting, 22</w:t>
      </w:r>
      <w:r>
        <w:rPr>
          <w:sz w:val="19"/>
          <w:szCs w:val="19"/>
        </w:rPr>
        <w:t xml:space="preserve">(4), 796–810. https://doi.org/10.1108/JFRA-12-2021-0461</w:t>
      </w:r>
    </w:p>
    <w:p>
      <w:pPr>
        <w:spacing w:after="70"/>
        <w:ind w:left="567" w:hanging="567"/>
      </w:pPr>
      <w:r>
        <w:rPr>
          <w:sz w:val="19"/>
          <w:szCs w:val="19"/>
        </w:rPr>
        <w:t xml:space="preserve">Samet, A., &amp; Obay, L. (2014). Call feature and corporate bond yield spreads. </w:t>
      </w:r>
      <w:r>
        <w:rPr>
          <w:i/>
          <w:iCs/>
          <w:sz w:val="19"/>
          <w:szCs w:val="19"/>
        </w:rPr>
        <w:t xml:space="preserve">Journal of Multinational Financial Management, 25–26</w:t>
      </w:r>
      <w:r>
        <w:rPr>
          <w:sz w:val="19"/>
          <w:szCs w:val="19"/>
        </w:rPr>
        <w:t xml:space="preserve">, 1–20. https://doi.org/10.1016/j.mulfin.2014.06.004</w:t>
      </w:r>
    </w:p>
    <w:p>
      <w:pPr>
        <w:spacing w:after="70"/>
        <w:ind w:left="567" w:hanging="567"/>
      </w:pPr>
      <w:r>
        <w:rPr>
          <w:sz w:val="19"/>
          <w:szCs w:val="19"/>
        </w:rPr>
        <w:t xml:space="preserve">Sheng, Q., Zheng, X., &amp; Zhong, N. (2021). Financing for sustainability: Empirical analysis of green bond premium and issuer heterogeneity. </w:t>
      </w:r>
      <w:r>
        <w:rPr>
          <w:i/>
          <w:iCs/>
          <w:sz w:val="19"/>
          <w:szCs w:val="19"/>
        </w:rPr>
        <w:t xml:space="preserve">Natural Hazards, 107</w:t>
      </w:r>
      <w:r>
        <w:rPr>
          <w:sz w:val="19"/>
          <w:szCs w:val="19"/>
        </w:rPr>
        <w:t xml:space="preserve">(3), 2641–2651. https://doi.org/10.1007/s11069-021-04540-z</w:t>
      </w:r>
    </w:p>
    <w:p>
      <w:pPr>
        <w:spacing w:after="70"/>
        <w:ind w:left="567" w:hanging="567"/>
      </w:pPr>
      <w:r>
        <w:rPr>
          <w:sz w:val="19"/>
          <w:szCs w:val="19"/>
        </w:rPr>
        <w:t xml:space="preserve">Simmons, J. P., Nelson, L. D., &amp; Simonsohn, U. (2011). False-positive psychology: Undisclosed flexibility in data collection and analysis allows presenting anything as significant. </w:t>
      </w:r>
      <w:r>
        <w:rPr>
          <w:i/>
          <w:iCs/>
          <w:sz w:val="19"/>
          <w:szCs w:val="19"/>
        </w:rPr>
        <w:t xml:space="preserve">Psychological Science, 22</w:t>
      </w:r>
      <w:r>
        <w:rPr>
          <w:sz w:val="19"/>
          <w:szCs w:val="19"/>
        </w:rPr>
        <w:t xml:space="preserve">(11), 1359–1366. https://doi.org/10.1177/0956797611417632</w:t>
      </w:r>
    </w:p>
    <w:p>
      <w:pPr>
        <w:spacing w:after="70"/>
        <w:ind w:left="567" w:hanging="567"/>
      </w:pPr>
      <w:r>
        <w:rPr>
          <w:sz w:val="19"/>
          <w:szCs w:val="19"/>
        </w:rPr>
        <w:t xml:space="preserve">Solon, G., Haider, S. J., &amp; Wooldridge, J. M. (2015). What are we weighting for? </w:t>
      </w:r>
      <w:r>
        <w:rPr>
          <w:i/>
          <w:iCs/>
          <w:sz w:val="19"/>
          <w:szCs w:val="19"/>
        </w:rPr>
        <w:t xml:space="preserve">Journal of Human Resources, 50</w:t>
      </w:r>
      <w:r>
        <w:rPr>
          <w:sz w:val="19"/>
          <w:szCs w:val="19"/>
        </w:rPr>
        <w:t xml:space="preserve">(2), 301–316. https://doi.org/10.3368/jhr.50.2.301</w:t>
      </w:r>
    </w:p>
    <w:p>
      <w:pPr>
        <w:spacing w:after="70"/>
        <w:ind w:left="567" w:hanging="567"/>
      </w:pPr>
      <w:r>
        <w:rPr>
          <w:sz w:val="19"/>
          <w:szCs w:val="19"/>
        </w:rPr>
        <w:t xml:space="preserve">Spivey, M. F. (1989). The cost of including a call provision in municipal debt contracts. </w:t>
      </w:r>
      <w:r>
        <w:rPr>
          <w:i/>
          <w:iCs/>
          <w:sz w:val="19"/>
          <w:szCs w:val="19"/>
        </w:rPr>
        <w:t xml:space="preserve">Journal of Financial Research, 12</w:t>
      </w:r>
      <w:r>
        <w:rPr>
          <w:sz w:val="19"/>
          <w:szCs w:val="19"/>
        </w:rPr>
        <w:t xml:space="preserve">(3), 203–216. https://doi.org/10.1111/j.1475-6803.1989.tb00514.x</w:t>
      </w:r>
    </w:p>
    <w:p>
      <w:pPr>
        <w:spacing w:after="70"/>
        <w:ind w:left="567" w:hanging="567"/>
      </w:pPr>
      <w:r>
        <w:rPr>
          <w:sz w:val="19"/>
          <w:szCs w:val="19"/>
        </w:rPr>
        <w:t xml:space="preserve">Stuart, E. A. (2010). Matching methods for causal inference: A review and a look forward. </w:t>
      </w:r>
      <w:r>
        <w:rPr>
          <w:i/>
          <w:iCs/>
          <w:sz w:val="19"/>
          <w:szCs w:val="19"/>
        </w:rPr>
        <w:t xml:space="preserve">Statistical Science, 25</w:t>
      </w:r>
      <w:r>
        <w:rPr>
          <w:sz w:val="19"/>
          <w:szCs w:val="19"/>
        </w:rPr>
        <w:t xml:space="preserve">(1), 1–21. https://doi.org/10.1214/09-STS313</w:t>
      </w:r>
    </w:p>
    <w:p>
      <w:pPr>
        <w:spacing w:after="70"/>
        <w:ind w:left="567" w:hanging="567"/>
      </w:pPr>
      <w:r>
        <w:rPr>
          <w:sz w:val="19"/>
          <w:szCs w:val="19"/>
        </w:rPr>
        <w:t xml:space="preserve">Sun, Z., Feng, J., &amp; Zhou, R. (2022). Can labeled green bonds reduce financing cost in China? </w:t>
      </w:r>
      <w:r>
        <w:rPr>
          <w:i/>
          <w:iCs/>
          <w:sz w:val="19"/>
          <w:szCs w:val="19"/>
        </w:rPr>
        <w:t xml:space="preserve">Sustainability, 14</w:t>
      </w:r>
      <w:r>
        <w:rPr>
          <w:sz w:val="19"/>
          <w:szCs w:val="19"/>
        </w:rPr>
        <w:t xml:space="preserve">(20), 13510. https://doi.org/10.3390/su142013510</w:t>
      </w:r>
    </w:p>
    <w:p>
      <w:pPr>
        <w:spacing w:after="70"/>
        <w:ind w:left="567" w:hanging="567"/>
      </w:pPr>
      <w:r>
        <w:rPr>
          <w:sz w:val="19"/>
          <w:szCs w:val="19"/>
        </w:rPr>
        <w:t xml:space="preserve">Tewari, M., &amp; Ramanlal, P. (2022). Risk management and agency theory: Role of the put option in corporate bonds. </w:t>
      </w:r>
      <w:r>
        <w:rPr>
          <w:i/>
          <w:iCs/>
          <w:sz w:val="19"/>
          <w:szCs w:val="19"/>
        </w:rPr>
        <w:t xml:space="preserve">Journal of Risk and Financial Management, 15</w:t>
      </w:r>
      <w:r>
        <w:rPr>
          <w:sz w:val="19"/>
          <w:szCs w:val="19"/>
        </w:rPr>
        <w:t xml:space="preserve">(2), 61. https://doi.org/10.3390/jrfm15020061</w:t>
      </w:r>
    </w:p>
    <w:p>
      <w:pPr>
        <w:spacing w:after="70"/>
        <w:ind w:left="567" w:hanging="567"/>
      </w:pPr>
      <w:r>
        <w:rPr>
          <w:sz w:val="19"/>
          <w:szCs w:val="19"/>
        </w:rPr>
        <w:t xml:space="preserve">Wollny, L., Derwall, J., &amp; Galema, R. (2026). The reversal of the green bond premium [Working paper]. SSRN. https://doi.org/10.2139/ssrn.7064982</w:t>
      </w:r>
    </w:p>
    <w:p>
      <w:pPr>
        <w:spacing w:after="70"/>
        <w:ind w:left="567" w:hanging="567"/>
      </w:pPr>
      <w:r>
        <w:rPr>
          <w:sz w:val="19"/>
          <w:szCs w:val="19"/>
        </w:rPr>
        <w:t xml:space="preserve">Zerbib, O. D. (2019). The effect of pro-environmental preferences on bond prices: Evidence from green bonds. </w:t>
      </w:r>
      <w:r>
        <w:rPr>
          <w:i/>
          <w:iCs/>
          <w:sz w:val="19"/>
          <w:szCs w:val="19"/>
        </w:rPr>
        <w:t xml:space="preserve">Journal of Banking &amp; Finance, 98</w:t>
      </w:r>
      <w:r>
        <w:rPr>
          <w:sz w:val="19"/>
          <w:szCs w:val="19"/>
        </w:rPr>
        <w:t xml:space="preserve">, 39–60. https://doi.org/10.1016/j.jbankfin.2018.10.012</w:t>
      </w: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80"/>
      <w:outlineLvl w:val="1"/>
    </w:pPr>
    <w:rPr>
      <w:rFonts w:ascii="Calibri" w:cs="Calibri" w:eastAsia="Calibri" w:hAnsi="Calibri"/>
      <w:b/>
      <w:bCs/>
      <w:color w:val="2E5597"/>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e638b102775a2336dc320f5e4cb62701665fd99f.png"/><Relationship Id="rId11" Type="http://schemas.openxmlformats.org/officeDocument/2006/relationships/image" Target="media/737130b448781cfe27a2b9ba05a3886fce7e25b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Supervisor’s comments on draft Chapters 3–5</dc:title>
  <dc:creator>Supervisor</dc:creator>
  <cp:lastModifiedBy>Un-named</cp:lastModifiedBy>
  <cp:revision>1</cp:revision>
  <dcterms:created xsi:type="dcterms:W3CDTF">2026-09-30T01:47:45.255Z</dcterms:created>
  <dcterms:modified xsi:type="dcterms:W3CDTF">2026-09-30T01:47:45.262Z</dcterms:modified>
</cp:coreProperties>
</file>

<file path=docProps/custom.xml><?xml version="1.0" encoding="utf-8"?>
<Properties xmlns="http://schemas.openxmlformats.org/officeDocument/2006/custom-properties" xmlns:vt="http://schemas.openxmlformats.org/officeDocument/2006/docPropsVTypes"/>
</file>