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 w:eastAsia="黑体"/>
          <w:b/>
          <w:sz w:val="38"/>
        </w:rPr>
        <w:t>液压缸频率响应测试讲解</w:t>
      </w:r>
    </w:p>
    <w:p>
      <w:pPr>
        <w:jc w:val="center"/>
      </w:pPr>
      <w:r>
        <w:rPr>
          <w:rFonts w:ascii="Times New Roman" w:hAnsi="Times New Roman" w:eastAsia="宋体"/>
          <w:i/>
          <w:color w:val="444444"/>
          <w:sz w:val="22"/>
        </w:rPr>
        <w:t>Frequency Response Testing of Hydraulic Cylinders — A Tutorial</w:t>
      </w:r>
    </w:p>
    <w:p>
      <w:pPr>
        <w:spacing w:after="40"/>
        <w:jc w:val="center"/>
      </w:pPr>
      <w:r>
        <w:rPr>
          <w:rFonts w:ascii="Times New Roman" w:hAnsi="Times New Roman" w:eastAsia="宋体"/>
          <w:color w:val="333333"/>
          <w:sz w:val="21"/>
        </w:rPr>
        <w:t>Hydraulic Book（液压技术手册）· 专题讲解资料</w:t>
      </w:r>
    </w:p>
    <w:p>
      <w:pPr>
        <w:spacing w:after="40"/>
        <w:jc w:val="center"/>
      </w:pPr>
      <w:r>
        <w:rPr>
          <w:rFonts w:ascii="Times New Roman" w:hAnsi="Times New Roman" w:eastAsia="宋体"/>
          <w:color w:val="333333"/>
          <w:sz w:val="21"/>
        </w:rPr>
        <w:t>主要参考：Jelali &amp; Kroll《液压伺服系统——建模、辨识与控制》(2003)；NASA TN-D-5388《快速响应电液伺服系统动态性能限制分析》</w:t>
      </w:r>
    </w:p>
    <w:p>
      <w:pPr>
        <w:spacing w:after="40"/>
        <w:jc w:val="center"/>
      </w:pPr>
      <w:r>
        <w:rPr>
          <w:rFonts w:ascii="Times New Roman" w:hAnsi="Times New Roman" w:eastAsia="宋体"/>
          <w:color w:val="333333"/>
          <w:sz w:val="21"/>
        </w:rPr>
        <w:t>全部插图为自制示意图与数值仿真结果（脚本 make_freq_response_figs.py 随仓库提供）</w:t>
      </w:r>
    </w:p>
    <w:p/>
    <w:p>
      <w:pPr>
        <w:pBdr>
          <w:top w:val="single" w:sz="6" w:space="6" w:color="999999"/>
          <w:left w:val="single" w:sz="6" w:space="6" w:color="999999"/>
          <w:bottom w:val="single" w:sz="6" w:space="6" w:color="999999"/>
          <w:right w:val="single" w:sz="6" w:space="6" w:color="999999"/>
        </w:pBdr>
        <w:spacing w:before="120"/>
      </w:pPr>
      <w:r>
        <w:rPr>
          <w:rFonts w:ascii="Times New Roman" w:hAnsi="Times New Roman" w:eastAsia="宋体"/>
          <w:b/>
          <w:sz w:val="21"/>
        </w:rPr>
        <w:t>阅读指引</w:t>
      </w:r>
      <w:r>
        <w:rPr>
          <w:rFonts w:ascii="Times New Roman" w:hAnsi="Times New Roman" w:eastAsia="宋体"/>
          <w:color w:val="333333"/>
          <w:sz w:val="21"/>
        </w:rPr>
        <w:br/>
        <w:t>“油缸频响测试”测的其实是“阀 + 缸 + 负载”这一整套系统的动态特性。本文先讲测什么、为什么（第 1 章），再讲理论上应当预期什么样的曲线（第 2 章），然后依次讲测试台架（第 3 章）、激励信号（第 4 章）、测试流程（第 5 章）、幅值依赖等非线性效应（第 6 章）、常见误差源排查（第 7 章）与结果解读（第 8 章）。文中仿真采用一个典型算例：缸径 50 mm 对称缸、行程 0.4 m、负载质量 500 kg、供油压力 210 bar，其液压固有频率约 22 Hz、阻尼比约 0.09，参数明细见附录。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1　概述：频率响应测试测的是什么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What a Frequency Response Test Measures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1.1　基本概念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Basic Idea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频率响应测试的做法是：给系统施加某一频率的正弦激励，等系统进入稳态后，测量输出相对输入的幅值比与相位差；改变频率重复测量，把结果按频率画成曲线，即幅频特性与相频特性（合称 Bode 图）。它回答的问题非常直接——这台执行器“跟得上多快的指令”。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图 1 给出了单一频率点上的定义：输出正弦的幅值 Ax 与输入幅值 Au 之比给出该频率的增益（工程上折算为分贝），输出滞后输入的时间 Δt 折算为相位差。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A(ω) = 20·lg( A</w:t>
      </w:r>
      <w:r>
        <w:rPr>
          <w:rFonts w:ascii="Times New Roman" w:hAnsi="Times New Roman" w:eastAsia="宋体"/>
          <w:i w:val="0"/>
          <w:sz w:val="24"/>
          <w:vertAlign w:val="subscript"/>
        </w:rPr>
        <w:t>x</w:t>
      </w:r>
      <w:r>
        <w:rPr>
          <w:rFonts w:ascii="Times New Roman" w:hAnsi="Times New Roman" w:eastAsia="宋体"/>
          <w:i w:val="0"/>
          <w:sz w:val="24"/>
        </w:rPr>
        <w:t xml:space="preserve"> / A</w:t>
      </w:r>
      <w:r>
        <w:rPr>
          <w:rFonts w:ascii="Times New Roman" w:hAnsi="Times New Roman" w:eastAsia="宋体"/>
          <w:i w:val="0"/>
          <w:sz w:val="24"/>
          <w:vertAlign w:val="subscript"/>
        </w:rPr>
        <w:t>x,ref</w:t>
      </w:r>
      <w:r>
        <w:rPr>
          <w:rFonts w:ascii="Times New Roman" w:hAnsi="Times New Roman" w:eastAsia="宋体"/>
          <w:i w:val="0"/>
          <w:sz w:val="24"/>
        </w:rPr>
        <w:t xml:space="preserve"> )　[dB]，　φ(ω) = −360°·Δt / T</w:t>
      </w:r>
      <w:r>
        <w:rPr>
          <w:rFonts w:ascii="Times New Roman" w:hAnsi="Times New Roman" w:eastAsia="宋体"/>
        </w:rPr>
        <w:tab/>
        <w:t>(1.1)</w:t>
      </w:r>
    </w:p>
    <w:p>
      <w:pPr>
        <w:spacing w:after="80"/>
      </w:pPr>
      <w:r>
        <w:rPr>
          <w:rFonts w:ascii="Times New Roman" w:hAnsi="Times New Roman" w:eastAsia="宋体"/>
        </w:rPr>
        <w:t>其中 T 为该频率的周期；Ax,ref 为低频参考幅值（闭环位置测试时通常直接用指令幅值，即测 x/xref）。注意液压系统是非线性对象，严格说这样测得的是“某一激励幅值下的描述性频响”，幅值必须与曲线一起报告——这一点在第 6 章展开。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3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　单一频率点的稳态正弦响应：幅值比与相位差的定义</w:t>
      </w:r>
      <w:r>
        <w:rPr>
          <w:rFonts w:ascii="Times New Roman" w:hAnsi="Times New Roman" w:eastAsia="宋体"/>
          <w:i/>
          <w:color w:val="666666"/>
          <w:sz w:val="18"/>
        </w:rPr>
        <w:br/>
        <w:t>(Figure 1. Definition of amplitude ratio and phase lag at one frequency point)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1.2　为什么“油缸频响”实际测的是阀控缸系统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Why the Valve Is Always Included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液压缸本身没有独立的“输入端”——活塞是被油推动的，必须由伺服阀（或高频响比例阀）给它配流。因此工程上说的液压缸频率响应，实际是从阀输入信号 u（或阀芯位移）到活塞速度/位移的传递特性，被测对象是“阀 + 缸 + 负载”组成的整体。这也意味着：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阀的动态特性会叠加在测试结果里。要测出缸的极限，阀的带宽应显著高于被测缸系统（经验上至少 3 倍），否则测到的是阀的极限而不是缸的。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阀与缸之间的管道容积会改变结果（引入轻阻尼的极点/零点对），所以测试时阀应尽量直接安装在缸体上（见第 7 章）。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负载（质量、刚度）是系统的一部分：同一支缸带不同负载，测出的频响完全不同。测试必须按规定的负载状态进行并在报告中注明。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1.3　从频响曲线上读什么：主要评价指标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Key Performance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6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36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工程意义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−3 dB 带宽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幅值比降到低频值的 0.707 倍（−3 dB）的频率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最常用的“快速性”指标；闭环位置系统验收常用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−90° 相位频率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相位滞后达到 −90° 的频率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伺服阀行业惯例（与 −3 dB 频率取二者较小者）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谐振频率 fr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幅频曲线出现峰值的频率，欠阻尼时 fr ≈ fh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反映油柱-质量谐振；决定可用的控制带宽上限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谐振峰值 Mr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峰值高出低频渐近线的倍数（或 dB 数）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阻尼的直接量度；闭环设计常用 M = 1.3 准则校核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液压固有频率 ωh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油腔液压弹簧与负载质量构成的固有频率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系统最核心的动态参数，见第 2 章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sz w:val="20"/>
              </w:rPr>
              <w:t>阻尼比 Dh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谐振的无量纲阻尼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液压缸通常仅 0.05~0.2，谐振峰尖锐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Arial" w:hAnsi="Arial" w:eastAsia="黑体"/>
          <w:b/>
          <w:color w:val="000000"/>
          <w:sz w:val="30"/>
        </w:rPr>
        <w:t>2　理论基础：应当预期什么样的曲线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What Curves to Expect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2.1　降阶线性模型与两个关键参数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Reduced-order Model, ωh and Dh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按《液压伺服系统》中译本 4.4.4.3 节的降阶模型（忽略阀动态），阀控缸从阀输入 u 到活塞位移 x 的线性化传递函数为一个“积分 + 二阶振荡”环节（IT2 型）：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x(s)/u(s) = K</w:t>
      </w:r>
      <w:r>
        <w:rPr>
          <w:rFonts w:ascii="Times New Roman" w:hAnsi="Times New Roman" w:eastAsia="宋体"/>
          <w:i w:val="0"/>
          <w:sz w:val="24"/>
          <w:vertAlign w:val="subscript"/>
        </w:rPr>
        <w:t>v</w:t>
      </w:r>
      <w:r>
        <w:rPr>
          <w:rFonts w:ascii="Times New Roman" w:hAnsi="Times New Roman" w:eastAsia="宋体"/>
          <w:i w:val="0"/>
          <w:sz w:val="24"/>
        </w:rPr>
        <w:t xml:space="preserve"> / [ s·( s</w:t>
      </w:r>
      <w:r>
        <w:rPr>
          <w:rFonts w:ascii="Times New Roman" w:hAnsi="Times New Roman" w:eastAsia="宋体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sz w:val="24"/>
        </w:rPr>
        <w:t>/ω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sz w:val="24"/>
        </w:rPr>
        <w:t xml:space="preserve"> + 2D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</w:rPr>
        <w:t>·s/ω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</w:rPr>
        <w:t xml:space="preserve"> + 1 ) ]</w:t>
      </w:r>
      <w:r>
        <w:rPr>
          <w:rFonts w:ascii="Times New Roman" w:hAnsi="Times New Roman" w:eastAsia="宋体"/>
        </w:rPr>
        <w:tab/>
        <w:t>(2.1)</w:t>
      </w:r>
    </w:p>
    <w:p>
      <w:pPr>
        <w:spacing w:after="80"/>
      </w:pPr>
      <w:r>
        <w:rPr>
          <w:rFonts w:ascii="Times New Roman" w:hAnsi="Times New Roman" w:eastAsia="宋体"/>
        </w:rPr>
        <w:t>式中 Kv 为速度增益。对对称缸，若摩擦与泄漏可忽略（对应书中式 4.247），液压固有频率为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ω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</w:rPr>
        <w:t xml:space="preserve"> = √( 4β</w:t>
      </w:r>
      <w:r>
        <w:rPr>
          <w:rFonts w:ascii="Times New Roman" w:hAnsi="Times New Roman" w:eastAsia="宋体"/>
          <w:i w:val="0"/>
          <w:sz w:val="24"/>
          <w:vertAlign w:val="subscript"/>
        </w:rPr>
        <w:t>e</w:t>
      </w:r>
      <w:r>
        <w:rPr>
          <w:rFonts w:ascii="Times New Roman" w:hAnsi="Times New Roman" w:eastAsia="宋体"/>
          <w:i w:val="0"/>
          <w:sz w:val="24"/>
        </w:rPr>
        <w:t>A</w:t>
      </w:r>
      <w:r>
        <w:rPr>
          <w:rFonts w:ascii="Times New Roman" w:hAnsi="Times New Roman" w:eastAsia="宋体"/>
          <w:i w:val="0"/>
          <w:sz w:val="24"/>
          <w:vertAlign w:val="subscript"/>
        </w:rPr>
        <w:t>p</w:t>
      </w:r>
      <w:r>
        <w:rPr>
          <w:rFonts w:ascii="Times New Roman" w:hAnsi="Times New Roman" w:eastAsia="宋体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sz w:val="24"/>
        </w:rPr>
        <w:t xml:space="preserve"> / ( V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>·m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 xml:space="preserve"> ) )</w:t>
      </w:r>
      <w:r>
        <w:rPr>
          <w:rFonts w:ascii="Times New Roman" w:hAnsi="Times New Roman" w:eastAsia="宋体"/>
        </w:rPr>
        <w:tab/>
        <w:t>(2.2)</w:t>
      </w:r>
    </w:p>
    <w:p>
      <w:pPr>
        <w:spacing w:after="80"/>
      </w:pPr>
      <w:r>
        <w:rPr>
          <w:rFonts w:ascii="Times New Roman" w:hAnsi="Times New Roman" w:eastAsia="宋体"/>
        </w:rPr>
        <w:t>其中 βe 为油液有效体积弹性模量，Ap 为活塞有效面积，Vt 为两腔总容积，mt 为折算到活塞上的运动质量。物理图像：两腔油柱相当于一根液压弹簧（刚度 4βeAp²/Vt），与负载质量构成弹簧-质量谐振。阻尼比由泄漏与黏性摩擦贡献：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D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</w:rPr>
        <w:t xml:space="preserve"> = (C</w:t>
      </w:r>
      <w:r>
        <w:rPr>
          <w:rFonts w:ascii="Times New Roman" w:hAnsi="Times New Roman" w:eastAsia="宋体"/>
          <w:i w:val="0"/>
          <w:sz w:val="24"/>
          <w:vertAlign w:val="subscript"/>
        </w:rPr>
        <w:t>l</w:t>
      </w:r>
      <w:r>
        <w:rPr>
          <w:rFonts w:ascii="Times New Roman" w:hAnsi="Times New Roman" w:eastAsia="宋体"/>
          <w:i w:val="0"/>
          <w:sz w:val="24"/>
        </w:rPr>
        <w:t>/A</w:t>
      </w:r>
      <w:r>
        <w:rPr>
          <w:rFonts w:ascii="Times New Roman" w:hAnsi="Times New Roman" w:eastAsia="宋体"/>
          <w:i w:val="0"/>
          <w:sz w:val="24"/>
          <w:vertAlign w:val="subscript"/>
        </w:rPr>
        <w:t>p</w:t>
      </w:r>
      <w:r>
        <w:rPr>
          <w:rFonts w:ascii="Times New Roman" w:hAnsi="Times New Roman" w:eastAsia="宋体"/>
          <w:i w:val="0"/>
          <w:sz w:val="24"/>
        </w:rPr>
        <w:t>)·√( β</w:t>
      </w:r>
      <w:r>
        <w:rPr>
          <w:rFonts w:ascii="Times New Roman" w:hAnsi="Times New Roman" w:eastAsia="宋体"/>
          <w:i w:val="0"/>
          <w:sz w:val="24"/>
          <w:vertAlign w:val="subscript"/>
        </w:rPr>
        <w:t>e</w:t>
      </w:r>
      <w:r>
        <w:rPr>
          <w:rFonts w:ascii="Times New Roman" w:hAnsi="Times New Roman" w:eastAsia="宋体"/>
          <w:i w:val="0"/>
          <w:sz w:val="24"/>
        </w:rPr>
        <w:t>m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>/V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 xml:space="preserve"> ) + (D</w:t>
      </w:r>
      <w:r>
        <w:rPr>
          <w:rFonts w:ascii="Times New Roman" w:hAnsi="Times New Roman" w:eastAsia="宋体"/>
          <w:i w:val="0"/>
          <w:sz w:val="24"/>
          <w:vertAlign w:val="subscript"/>
        </w:rPr>
        <w:t>f</w:t>
      </w:r>
      <w:r>
        <w:rPr>
          <w:rFonts w:ascii="Times New Roman" w:hAnsi="Times New Roman" w:eastAsia="宋体"/>
          <w:i w:val="0"/>
          <w:sz w:val="24"/>
        </w:rPr>
        <w:t>/(4A</w:t>
      </w:r>
      <w:r>
        <w:rPr>
          <w:rFonts w:ascii="Times New Roman" w:hAnsi="Times New Roman" w:eastAsia="宋体"/>
          <w:i w:val="0"/>
          <w:sz w:val="24"/>
          <w:vertAlign w:val="subscript"/>
        </w:rPr>
        <w:t>p</w:t>
      </w:r>
      <w:r>
        <w:rPr>
          <w:rFonts w:ascii="Times New Roman" w:hAnsi="Times New Roman" w:eastAsia="宋体"/>
          <w:i w:val="0"/>
          <w:sz w:val="24"/>
        </w:rPr>
        <w:t>))·√( V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>/(β</w:t>
      </w:r>
      <w:r>
        <w:rPr>
          <w:rFonts w:ascii="Times New Roman" w:hAnsi="Times New Roman" w:eastAsia="宋体"/>
          <w:i w:val="0"/>
          <w:sz w:val="24"/>
          <w:vertAlign w:val="subscript"/>
        </w:rPr>
        <w:t>e</w:t>
      </w:r>
      <w:r>
        <w:rPr>
          <w:rFonts w:ascii="Times New Roman" w:hAnsi="Times New Roman" w:eastAsia="宋体"/>
          <w:i w:val="0"/>
          <w:sz w:val="24"/>
        </w:rPr>
        <w:t>m</w:t>
      </w:r>
      <w:r>
        <w:rPr>
          <w:rFonts w:ascii="Times New Roman" w:hAnsi="Times New Roman" w:eastAsia="宋体"/>
          <w:i w:val="0"/>
          <w:sz w:val="24"/>
          <w:vertAlign w:val="subscript"/>
        </w:rPr>
        <w:t>t</w:t>
      </w:r>
      <w:r>
        <w:rPr>
          <w:rFonts w:ascii="Times New Roman" w:hAnsi="Times New Roman" w:eastAsia="宋体"/>
          <w:i w:val="0"/>
          <w:sz w:val="24"/>
        </w:rPr>
        <w:t>) )</w:t>
      </w:r>
      <w:r>
        <w:rPr>
          <w:rFonts w:ascii="Times New Roman" w:hAnsi="Times New Roman" w:eastAsia="宋体"/>
        </w:rPr>
        <w:tab/>
        <w:t>(2.3)</w:t>
      </w:r>
    </w:p>
    <w:p>
      <w:pPr>
        <w:spacing w:after="80"/>
      </w:pPr>
      <w:r>
        <w:rPr>
          <w:rFonts w:ascii="Times New Roman" w:hAnsi="Times New Roman" w:eastAsia="宋体"/>
        </w:rPr>
        <w:t>Cl 为层流泄漏系数，Df 为黏性摩擦系数。图 2 给出本文算例（ωh = 141 rad/s 即 22.4 Hz，Dh = 0.09）的理论 Bode 图：左列为速度响应（PT2 环节，低频平直，谐振后按 −40 dB/dec 下降），右列为位置响应（IT2 环节，低频即按 −20 dB/dec 下降、相位从 −90° 起步，谐振后转为 −60 dB/dec、相位趋向 −270°）。位置响应中的原点极点就是书中所说“系统的积分行为”——这也是位置开环无法直接加激励测试的原因（会漂移），见第 3 章。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62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62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2　阀控缸降阶线性模型的典型频率响应（速度：PT2；位置：IT2）</w:t>
      </w:r>
      <w:r>
        <w:rPr>
          <w:rFonts w:ascii="Times New Roman" w:hAnsi="Times New Roman" w:eastAsia="宋体"/>
          <w:i/>
          <w:color w:val="666666"/>
          <w:sz w:val="18"/>
        </w:rPr>
        <w:br/>
        <w:t>(Figure 2. Typical frequency responses of the reduced-order model (velocity: PT2; position: IT2))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2.2　阻尼比与谐振峰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Damping and the Resonance Peak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纯液压缸的阻尼很低（Dh ≈ 0.05~0.2，明显欠阻尼），谐振峰尖锐。欠阻尼二阶环节的峰值为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M</w:t>
      </w:r>
      <w:r>
        <w:rPr>
          <w:rFonts w:ascii="Times New Roman" w:hAnsi="Times New Roman" w:eastAsia="宋体"/>
          <w:i w:val="0"/>
          <w:sz w:val="24"/>
          <w:vertAlign w:val="subscript"/>
        </w:rPr>
        <w:t>r</w:t>
      </w:r>
      <w:r>
        <w:rPr>
          <w:rFonts w:ascii="Times New Roman" w:hAnsi="Times New Roman" w:eastAsia="宋体"/>
          <w:i w:val="0"/>
          <w:sz w:val="24"/>
        </w:rPr>
        <w:t xml:space="preserve"> = 1 / ( 2D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</w:rPr>
        <w:t>·√( 1 − D</w:t>
      </w:r>
      <w:r>
        <w:rPr>
          <w:rFonts w:ascii="Times New Roman" w:hAnsi="Times New Roman" w:eastAsia="宋体"/>
          <w:i w:val="0"/>
          <w:sz w:val="24"/>
          <w:vertAlign w:val="subscript"/>
        </w:rPr>
        <w:t>h</w:t>
      </w:r>
      <w:r>
        <w:rPr>
          <w:rFonts w:ascii="Times New Roman" w:hAnsi="Times New Roman" w:eastAsia="宋体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sz w:val="24"/>
        </w:rPr>
        <w:t xml:space="preserve"> ) )</w:t>
      </w:r>
      <w:r>
        <w:rPr>
          <w:rFonts w:ascii="Times New Roman" w:hAnsi="Times New Roman" w:eastAsia="宋体"/>
        </w:rPr>
        <w:tab/>
        <w:t>(2.4)</w:t>
      </w:r>
    </w:p>
    <w:p>
      <w:pPr>
        <w:spacing w:after="80"/>
      </w:pPr>
      <w:r>
        <w:rPr>
          <w:rFonts w:ascii="Times New Roman" w:hAnsi="Times New Roman" w:eastAsia="宋体"/>
        </w:rPr>
        <w:t>Dh = 0.1 时 Mr = 5（+14 dB）——在谐振频率附近，同样的输入会激起 5 倍的输出。这带来两个直接后果：其一，测试经过谐振区时振幅急剧放大，激励幅值要从小往大加，并设好限幅与行程保护（第 5 章）；其二，做闭环设计时谐振峰限制了可用增益，书中第 6 章引用的 Viersma（1980）M = 1.3 准则（闭环幅值比不得超过 1.3，即约 +2.3 dB）就是针对该谐振峰的校核标准。图 3 显示阻尼比对幅频、相频的影响。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m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3　阻尼比对谐振峰与相频特性的影响</w:t>
      </w:r>
      <w:r>
        <w:rPr>
          <w:rFonts w:ascii="Times New Roman" w:hAnsi="Times New Roman" w:eastAsia="宋体"/>
          <w:i/>
          <w:color w:val="666666"/>
          <w:sz w:val="18"/>
        </w:rPr>
        <w:br/>
        <w:t>(Figure 3. Influence of the damping ratio on resonance peak and phase)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7"/>
        </w:rPr>
        <w:t>2.3　活塞位置的影响</w:t>
      </w:r>
      <w:r>
        <w:t xml:space="preserve">  </w:t>
      </w:r>
      <w:r>
        <w:rPr>
          <w:rFonts w:ascii="Arial" w:hAnsi="Arial" w:eastAsia="黑体"/>
          <w:b w:val="0"/>
          <w:color w:val="555555"/>
          <w:sz w:val="20"/>
        </w:rPr>
        <w:t>Piston-position Dependence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式 2.2 中的容积随活塞位置变化，因此 ωh 是位置的函数：对称缸在行程中位两腔容积均分、总柔度最大，ωh 最低；靠近行程两端时一腔变小、刚度上升，ωh 升高（图 4）。结论：频响测试必须规定并记录活塞位置，标准做法是在最不利的中位测试；严格的试验还应在行程两端附近（如 10% 与 90% 行程处）各补测一组。对非对称缸（单出杆缸），最不利位置不在正中，且两个运动方向特性不同，见第 7 章。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4　液压固有频率随活塞位置的变化：中位最低（最不利测试位置）</w:t>
      </w:r>
      <w:r>
        <w:rPr>
          <w:rFonts w:ascii="Times New Roman" w:hAnsi="Times New Roman" w:eastAsia="宋体"/>
          <w:i/>
          <w:color w:val="666666"/>
          <w:sz w:val="18"/>
        </w:rPr>
        <w:br/>
        <w:t>(Figure 4. Hydraulic natural frequency vs. piston position: minimum at mid-stroke)</w:t>
      </w:r>
    </w:p>
    <w:p>
      <w:pPr>
        <w:pStyle w:val="Heading1"/>
        <w:pageBreakBefore/>
      </w:pPr>
      <w:r>
        <w:rPr>
          <w:rFonts w:ascii="Arial" w:hAnsi="Arial" w:eastAsia="黑体"/>
          <w:b/>
          <w:color w:val="000000"/>
          <w:sz w:val="30"/>
        </w:rPr>
        <w:t>3　测试系统的组成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Test Rig Layout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图 5 为典型的频响测试系统示意图。信号发生器产生激励并同时送入分析仪作参考通道；伺服放大器把电压指令变换为阀电流；被测阀直接安装在缸体上；活塞经导轨驱动规定的负载质量；位移传感器的输出作为响应通道；两腔压力作为辅助通道用于诊断（观察压力谐振、判断饱和与气蚀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61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5　液压缸（阀控缸系统）频率响应测试原理示意图</w:t>
      </w:r>
      <w:r>
        <w:rPr>
          <w:rFonts w:ascii="Times New Roman" w:hAnsi="Times New Roman" w:eastAsia="宋体"/>
          <w:i/>
          <w:color w:val="666666"/>
          <w:sz w:val="18"/>
        </w:rPr>
        <w:br/>
        <w:t>(Figure 5. Schematic of a frequency-response test rig for a hydraulic cylinder)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各组成部分的选型与布置要点汇总于表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组成部分</w:t>
            </w:r>
          </w:p>
        </w:tc>
        <w:tc>
          <w:tcPr>
            <w:tcW w:type="dxa" w:w="7143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选型与布置要点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液压源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恒压供油；蓄能器尽量靠近阀安装——谐振附近瞬时流量很大，供压波动会直接污染测试数据；记录并保持供油压力（频响依赖 pS）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被测阀 + 缸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阀直接安装在缸体上，消除管道容积；阀带宽应高于被测系统 3 倍以上，否则测的是阀的极限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负载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按实际工况配置规定的惯性质量，由导轨约束为直线运动；负载质量直接决定 ωh，必须在报告中注明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位移传感器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磁致伸缩、LVDT 或光栅；带宽高于最高测试频率 5~10 倍；杆端安装要刚性，避免传感器支架自身共振混入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压力传感器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两腔各一只，动态型（压阻/压电），就近安装在缸口；辅助判断流量饱和、气蚀与管道谐振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数据采集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输入输出通道同步采样（通道间延迟直接变成相位误差）；采样率不低于最高测试频率的 10 倍，并加抗混叠滤波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工作点保持</w:t>
            </w:r>
          </w:p>
        </w:tc>
        <w:tc>
          <w:tcPr>
            <w:tcW w:type="dxa" w:w="7143"/>
          </w:tcPr>
          <w:p>
            <w:r>
              <w:rPr>
                <w:rFonts w:ascii="Times New Roman" w:hAnsi="Times New Roman" w:eastAsia="宋体"/>
                <w:sz w:val="20"/>
              </w:rPr>
              <w:t>位置通道是积分特性，开环加激励会漂移跑偏。常规做法：用一个慢速位置闭环把活塞稳在规定位置，再叠加激励；或直接在位置闭环下测闭环频响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4　激励信号的选择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Choice of Excitation Signal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激励信号决定了测试的速度、精度与对非线性的适应性，常用类型见图 6 与表 3；系统性的讨论见《液压伺服系统》中译本第 5 章（实验建模）。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66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ign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6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6　频响测试常用激励信号：逐点定频正弦、扫频、多正弦与 PRBS</w:t>
      </w:r>
      <w:r>
        <w:rPr>
          <w:rFonts w:ascii="Times New Roman" w:hAnsi="Times New Roman" w:eastAsia="宋体"/>
          <w:i/>
          <w:color w:val="666666"/>
          <w:sz w:val="18"/>
        </w:rPr>
        <w:br/>
        <w:t>(Figure 6. Common excitation signals: stepped sine, chirp, multisine, PRBS)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信号类型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缺点</w:t>
            </w:r>
          </w:p>
        </w:tc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适用场合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逐点定频正弦</w:t>
              <w:br/>
              <w:t>(stepped sine)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每点信噪比最高；可同时观察谐波失真（衡量非线性程度）；幅值可逐点控制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最耗时；低频点等稳态时间长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正式验收测试；非线性明显的对象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扫频 (chirp)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一次扫过整个频段，速度快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扫速过快会“抹平”谐振峰；幅值控制粗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摸底测试、快速复测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多正弦 (multisine)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一次注入一组选定频率；峰值因子可优化；效率高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需要频域处理工具；单频能量低于定频法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频域辨识；批量重复测试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PRBS / 白噪声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宽频、生成简便；配合谱估计（H1 估计 + 相干函数）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sz w:val="20"/>
              </w:rPr>
              <w:t>对强非线性对象激励不充分（Leontaritis &amp; Billings, 1987），宜改用幅值调制的 PRMS；单位带宽能量低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sz w:val="20"/>
              </w:rPr>
              <w:t>线性度较好的对象；在线辨识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ascii="Times New Roman" w:hAnsi="Times New Roman" w:eastAsia="宋体"/>
        </w:rPr>
        <w:t>频率范围：从远低于预期带宽（如 0.1~1 Hz）测到 2~3 倍 ωh，按对数分布取点。使用随机类信号时务必检查相干函数 γ²：相干低于约 0.9 的频段说明噪声或非线性太强，该段数据不可信。</w:t>
      </w:r>
    </w:p>
    <w:p>
      <w:pPr>
        <w:pStyle w:val="Heading1"/>
        <w:pageBreakBefore/>
      </w:pPr>
      <w:r>
        <w:rPr>
          <w:rFonts w:ascii="Arial" w:hAnsi="Arial" w:eastAsia="黑体"/>
          <w:b/>
          <w:color w:val="000000"/>
          <w:sz w:val="30"/>
        </w:rPr>
        <w:t>5　测试流程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Test Procedure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推荐按以下步骤执行（以逐点定频正弦、位置闭环方式为例）：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（1）油温预热并稳定。</w:t>
      </w:r>
    </w:p>
    <w:p>
      <w:pPr>
        <w:spacing w:after="80"/>
      </w:pPr>
      <w:r>
        <w:rPr>
          <w:rFonts w:ascii="Times New Roman" w:hAnsi="Times New Roman" w:eastAsia="宋体"/>
        </w:rPr>
        <w:t>循环运行使油温达到规定值（通常 40 ± 2 ℃）并保持。油液黏度和 βe 都随温度变化，温度不稳则曲线不可复现。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（2）彻底排气。</w:t>
      </w:r>
    </w:p>
    <w:p>
      <w:pPr>
        <w:spacing w:after="80"/>
      </w:pPr>
      <w:r>
        <w:rPr>
          <w:rFonts w:ascii="Times New Roman" w:hAnsi="Times New Roman" w:eastAsia="宋体"/>
        </w:rPr>
        <w:t>这是频响测试最常见、影响最大的误差源：混入空气使 βe 急剧下降，测得的 ωh 明显偏低（见第 7 章图 8）。在两腔最高点排气，必要时低压往复运行冲洗。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（3）设定并记录供油压力，把活塞稳到规定位置。</w:t>
      </w:r>
    </w:p>
    <w:p>
      <w:pPr>
        <w:spacing w:after="80"/>
      </w:pPr>
      <w:r>
        <w:rPr>
          <w:rFonts w:ascii="Times New Roman" w:hAnsi="Times New Roman" w:eastAsia="宋体"/>
        </w:rPr>
        <w:t>用慢速位置闭环把活塞保持在规定位置（通常为最不利的中位），等待压力、温度稳定。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（4）从低频、小幅值开始叠加激励。</w:t>
      </w:r>
    </w:p>
    <w:p>
      <w:pPr>
        <w:spacing w:after="80"/>
      </w:pPr>
      <w:r>
        <w:rPr>
          <w:rFonts w:ascii="Times New Roman" w:hAnsi="Times New Roman" w:eastAsia="宋体"/>
        </w:rPr>
        <w:t>每个频率点等待 5~10 个周期进入稳态后再取数；用相关法或跟踪滤波只提取基波分量，计算幅值比与相位差。逐步升频经过谐振区时注意监视振幅与两腔压力，必要时降低幅值。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（5）更换激励幅值重复。</w:t>
      </w:r>
    </w:p>
    <w:p>
      <w:pPr>
        <w:spacing w:after="80"/>
      </w:pPr>
      <w:r>
        <w:rPr>
          <w:rFonts w:ascii="Times New Roman" w:hAnsi="Times New Roman" w:eastAsia="宋体"/>
        </w:rPr>
        <w:t>至少取小、中、大三档（如额定信号的 ±5%、±25%、±90%，或规定的位移幅值），得到一族曲线；报告中每条曲线必须注明幅值（原因见第 6 章）。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（6）按需要更换活塞位置、供油压力、负载质量重复。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（7）数据处理与出报告。</w:t>
      </w:r>
    </w:p>
    <w:p>
      <w:pPr>
        <w:spacing w:after="80"/>
      </w:pPr>
      <w:r>
        <w:rPr>
          <w:rFonts w:ascii="Times New Roman" w:hAnsi="Times New Roman" w:eastAsia="宋体"/>
        </w:rPr>
        <w:t>绘制 Bode 图，读取 −3 dB 带宽、−90° 相位频率、谐振频率与峰值；需要模型时用频域辨识工具拟合式 2.1 的参数（ωh、Dh、Kv），作为建模与控制器设计的依据。</w:t>
      </w:r>
    </w:p>
    <w:p/>
    <w:p>
      <w:pPr>
        <w:pBdr>
          <w:top w:val="single" w:sz="6" w:space="6" w:color="999999"/>
          <w:left w:val="single" w:sz="6" w:space="6" w:color="999999"/>
          <w:bottom w:val="single" w:sz="6" w:space="6" w:color="999999"/>
          <w:right w:val="single" w:sz="6" w:space="6" w:color="999999"/>
        </w:pBdr>
        <w:spacing w:before="120"/>
      </w:pPr>
      <w:r>
        <w:rPr>
          <w:rFonts w:ascii="Times New Roman" w:hAnsi="Times New Roman" w:eastAsia="宋体"/>
          <w:b/>
          <w:sz w:val="21"/>
        </w:rPr>
        <w:t>安全提示</w:t>
      </w:r>
      <w:r>
        <w:rPr>
          <w:rFonts w:ascii="Times New Roman" w:hAnsi="Times New Roman" w:eastAsia="宋体"/>
          <w:color w:val="333333"/>
          <w:sz w:val="21"/>
        </w:rPr>
        <w:br/>
        <w:t>液压缸阻尼比通常只有 0.1 量级，谐振附近输入被放大数倍（式 2.4）。测试前设好：软件限幅（指令幅值与速度限制）、行程电气限位、两腔压力保护阈值；激励幅值一律从小到大逐级增加；有人员靠近运动部件时停止激励。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6　非线性与幅值依赖性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Nonlinearity and Amplitude Dependence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液压系统的核心非线性包括：阀口流量与压差的平方根关系、流量饱和（速度极限）、阀遮盖/死区、摩擦与滞环。因此同一套系统在不同激励幅值下测得的频响并不相同，“带宽”只有连同幅值一起说明才有意义。图 7 是对本文算例的非线性模型做的仿真（位置闭环 + P 控制器，逐点正弦、相关法提取基波，方法与真实测试完全相同）：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中幅值（±5 mm）：曲线与线性小信号模型吻合，谐振凸起清晰可见——这是“线性区”，常规小信号频响就在这一区间测。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小幅值（±0.5 mm）：增益整体偏低、相位滞后加大——阀遮盖（死区）与摩擦占了输入的相当比例，波形也开始失真。这解释了为什么样本上小信号（如 ±5%）频响曲线反而可能比 ±25% 差。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大幅值（±40 mm）：从约 2 Hz 起幅值提前跌落、相位滞后剧增，谐振凸起被抹平——指令要求的速度超过了阀的流量极限（本算例空载最大速度约 0.31 m/s）。这就是“大信号带宽”受流量/供压限制的现象，NASA TN-D-5388 报告分析的正是这一性能极限：小信号带宽由动态特性决定，大信号带宽由功率（流量）决定，二者是两回事。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2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mplitu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7　非线性模型仿真：不同激励幅值下测得的频响（虚线为线性小信号模型）</w:t>
      </w:r>
      <w:r>
        <w:rPr>
          <w:rFonts w:ascii="Times New Roman" w:hAnsi="Times New Roman" w:eastAsia="宋体"/>
          <w:i/>
          <w:color w:val="666666"/>
          <w:sz w:val="18"/>
        </w:rPr>
        <w:br/>
        <w:t>(Figure 7. Nonlinear simulation: measured FRF at different excitation amplitudes (dashed: linear small-signal model))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工程结论：报告频响曲线必须注明激励幅值、活塞位置、供油压力、油温与负载状态；验收指标应规定在哪个幅值档考核；用逐点正弦测试时顺带记录输出的谐波失真度，可以定量评价系统处于哪个非线性区。</w:t>
      </w:r>
    </w:p>
    <w:p>
      <w:pPr>
        <w:pStyle w:val="Heading1"/>
        <w:pageBreakBefore/>
      </w:pPr>
      <w:r>
        <w:rPr>
          <w:rFonts w:ascii="Arial" w:hAnsi="Arial" w:eastAsia="黑体"/>
          <w:b/>
          <w:color w:val="000000"/>
          <w:sz w:val="30"/>
        </w:rPr>
        <w:t>7　常见误差源与排查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Error Sources and Troubleshooting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最重要的一条：混入空气。油中未溶解的气泡使有效体积弹性模量 βeff 急剧下降——</w:t>
      </w:r>
    </w:p>
    <w:p>
      <w:pPr>
        <w:tabs>
          <w:tab w:pos="4592" w:val="center"/>
          <w:tab w:pos="9184" w:val="right"/>
        </w:tabs>
        <w:spacing w:line="240" w:lineRule="auto" w:before="120" w:after="120"/>
      </w:pP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  <w:i w:val="0"/>
          <w:sz w:val="24"/>
        </w:rPr>
        <w:t>β</w:t>
      </w:r>
      <w:r>
        <w:rPr>
          <w:rFonts w:ascii="Times New Roman" w:hAnsi="Times New Roman" w:eastAsia="宋体"/>
          <w:i w:val="0"/>
          <w:sz w:val="24"/>
          <w:vertAlign w:val="subscript"/>
        </w:rPr>
        <w:t>eff</w:t>
      </w:r>
      <w:r>
        <w:rPr>
          <w:rFonts w:ascii="Times New Roman" w:hAnsi="Times New Roman" w:eastAsia="宋体"/>
          <w:i w:val="0"/>
          <w:sz w:val="24"/>
        </w:rPr>
        <w:t xml:space="preserve"> = [ (1−α)/β</w:t>
      </w:r>
      <w:r>
        <w:rPr>
          <w:rFonts w:ascii="Times New Roman" w:hAnsi="Times New Roman" w:eastAsia="宋体"/>
          <w:i w:val="0"/>
          <w:sz w:val="24"/>
          <w:vertAlign w:val="subscript"/>
        </w:rPr>
        <w:t>oil</w:t>
      </w:r>
      <w:r>
        <w:rPr>
          <w:rFonts w:ascii="Times New Roman" w:hAnsi="Times New Roman" w:eastAsia="宋体"/>
          <w:i w:val="0"/>
          <w:sz w:val="24"/>
        </w:rPr>
        <w:t xml:space="preserve"> + α/(κ·p) ]</w:t>
      </w:r>
      <w:r>
        <w:rPr>
          <w:rFonts w:ascii="Times New Roman" w:hAnsi="Times New Roman" w:eastAsia="宋体"/>
          <w:i w:val="0"/>
          <w:sz w:val="24"/>
          <w:vertAlign w:val="superscript"/>
        </w:rPr>
        <w:t>−1</w:t>
      </w:r>
      <w:r>
        <w:rPr>
          <w:rFonts w:ascii="Times New Roman" w:hAnsi="Times New Roman" w:eastAsia="宋体"/>
        </w:rPr>
        <w:tab/>
        <w:t>(7.1)</w:t>
      </w:r>
    </w:p>
    <w:p>
      <w:pPr>
        <w:spacing w:after="80"/>
      </w:pPr>
      <w:r>
        <w:rPr>
          <w:rFonts w:ascii="Times New Roman" w:hAnsi="Times New Roman" w:eastAsia="宋体"/>
        </w:rPr>
        <w:t>其中 α 为测试压力下的体积含气率，κ ≈ 1.4 为气体多变指数，p 为腔内绝对压力。由式 2.2，ωh 随 √βeff 变化：图 8 显示在 100 bar 下仅 0.5% 的含气量就使谐振频率从 22.4 Hz 降到约 18 Hz，2% 时降到约 13 Hz。压力越低影响越剧烈。若实测 ωh 明显低于按式 2.2 的估算值，先查空气，再怀疑其他。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i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8　含气量对有效体积弹性模量与测得谐振频率的影响</w:t>
      </w:r>
      <w:r>
        <w:rPr>
          <w:rFonts w:ascii="Times New Roman" w:hAnsi="Times New Roman" w:eastAsia="宋体"/>
          <w:i/>
          <w:color w:val="666666"/>
          <w:sz w:val="18"/>
        </w:rPr>
        <w:br/>
        <w:t>(Figure 8. Effect of entrained air on effective bulk modulus and measured resonance)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异常现象</w:t>
            </w:r>
          </w:p>
        </w:tc>
        <w:tc>
          <w:tcPr>
            <w:tcW w:type="dxa" w:w="351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可能原因</w:t>
            </w:r>
          </w:p>
        </w:tc>
        <w:tc>
          <w:tcPr>
            <w:tcW w:type="dxa" w:w="306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实测 ωh 明显低于估算值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油中混入空气（βeff 下降）；软管柔度；负载质量比预计大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彻底排气；硬管替换软管；核对折算质量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谐振峰劈裂 / 多出一个峰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阀-缸之间管道动态（轻阻尼极点/零点对）；负载非刚性（柔性机械引入附加共振）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阀直装缸上；按书中 4.2.3.5 节扩展负载模型分别辨识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低频小幅值下相位异常大、波形失真、爬行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摩擦/滞环/死区主导（Stick-slip）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加大幅值分档单独评价；改善润滑与密封；测试报告注明适用幅值下限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高频段幅值提前跌落、相位急剧滞后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流量饱和（速度极限）；伺服阀速率限制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降低幅值复测确认；区分小信号带宽与大信号带宽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曲线不可复现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油温漂移；供压波动；工作点漂移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控温 ±2 ℃；检查蓄能器预充压力；检查稳位闭环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相位测量系统性偏差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采集通道间延迟；抗混叠滤波器相移不一致；传感器带宽不足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同步采样；两通道用同型滤波器；换高带宽传感器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 w:eastAsia="宋体"/>
                <w:sz w:val="20"/>
              </w:rPr>
              <w:t>非对称缸两方向结果不同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sz w:val="20"/>
              </w:rPr>
              <w:t>两腔面积不等，增益与 ωh 天然不对称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sz w:val="20"/>
              </w:rPr>
              <w:t>分方向给出曲线；最不利位置按计算确定（不在正中）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8　结果解读与工程应用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Interpreting and Using the Results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拿到一族 Bode 曲线后，典型的用法有三类：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（1）验收与对比。</w:t>
      </w:r>
    </w:p>
    <w:p>
      <w:pPr>
        <w:spacing w:after="80"/>
      </w:pPr>
      <w:r>
        <w:rPr>
          <w:rFonts w:ascii="Times New Roman" w:hAnsi="Times New Roman" w:eastAsia="宋体"/>
        </w:rPr>
        <w:t>按规定幅值档读取 −3 dB 带宽与 −90° 相位频率（取小者报告），与指标或历史数据对比。谐振频率与峰值的变化还可用于状态监测：ωh 下降提示进气或负载变化，Mr 升高提示泄漏减小或摩擦变化。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（2）参数辨识与建模。</w:t>
      </w:r>
    </w:p>
    <w:p>
      <w:pPr>
        <w:spacing w:after="80"/>
      </w:pPr>
      <w:r>
        <w:rPr>
          <w:rFonts w:ascii="Times New Roman" w:hAnsi="Times New Roman" w:eastAsia="宋体"/>
        </w:rPr>
        <w:t>以式 2.1 为模型结构，用频域辨识把 ωh、Dh、Kv 拟合出来，即得到面向控制的降阶模型；需要更高精度时按书中第 5 章做非线性辨识。实测频响也直接用于校核仿真模型。</w:t>
      </w:r>
    </w:p>
    <w:p>
      <w:pPr>
        <w:spacing w:before="80" w:after="0"/>
      </w:pPr>
      <w:r>
        <w:rPr>
          <w:rFonts w:ascii="Times New Roman" w:hAnsi="Times New Roman" w:eastAsia="宋体"/>
          <w:b/>
        </w:rPr>
        <w:t>（3）控制器设计。</w:t>
      </w:r>
    </w:p>
    <w:p>
      <w:pPr>
        <w:spacing w:after="80"/>
      </w:pPr>
      <w:r>
        <w:rPr>
          <w:rFonts w:ascii="Times New Roman" w:hAnsi="Times New Roman" w:eastAsia="宋体"/>
        </w:rPr>
        <w:t>位置闭环的可用增益受谐振峰限制（开环穿越频率大致不能超过 2Dh·ωh 量级），实测的 ωh 与 Dh 直接决定控制带宽上限；闭环设计完成后再测一次闭环频响，用 M = 1.3 准则校核谐振峰。频响数据给出完整的增益/相位信息（相位裕度、幅值裕度），这是阶跃响应试验替代不了的；反过来，阶跃响应直观给出上升时间与超调，适合快速验收。两种试验互补，正式试验通常都做。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9　延伸阅读（本仓库内资料）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Further Reading in This Repository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《液压伺服系统》中译本 4.4.4.3 节：降阶模型与频响特性——ωh、Dh 的完整推导（式 4.244~4.252）；4.4.4.4 节：位置/速度/加速度/压力/力控制的传递函数分类。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《液压伺服系统》中译本 4.5 节：模型参数的实验确定（阀静态/动态特性、摩擦、有效体积弹性模量的测定）。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《液压伺服系统》中译本第 5 章：实验建模——激励信号设计（PRBS/PRMS/chirp）、辨识流程与频域辨识工具。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《快速响应电液伺服系统动态性能限制分析》（NASA TN-D-5388 中译本）：150~200 Hz 级伺服系统大信号带宽受流量/供压限制的专题分析。</w:t>
      </w:r>
    </w:p>
    <w:p>
      <w:pPr>
        <w:pStyle w:val="ListBullet"/>
        <w:spacing w:after="40"/>
      </w:pPr>
      <w:r>
        <w:rPr>
          <w:rFonts w:ascii="Times New Roman" w:hAnsi="Times New Roman" w:eastAsia="宋体"/>
        </w:rPr>
        <w:t>Viersma, T. J. (1980)：闭环谐振峰 M = 1.3 设计准则的出处。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0"/>
        </w:rPr>
        <w:t>附录　仿真算例参数</w:t>
      </w:r>
      <w:r>
        <w:t xml:space="preserve">  </w:t>
      </w:r>
      <w:r>
        <w:rPr>
          <w:rFonts w:ascii="Arial" w:hAnsi="Arial" w:eastAsia="黑体"/>
          <w:b w:val="0"/>
          <w:color w:val="555555"/>
          <w:sz w:val="21"/>
        </w:rPr>
        <w:t>Appendix: Parameters of the Simulated Example</w:t>
      </w:r>
    </w:p>
    <w:p>
      <w:pPr>
        <w:spacing w:after="80"/>
        <w:ind w:firstLine="480"/>
      </w:pPr>
      <w:r>
        <w:rPr>
          <w:rFonts w:ascii="Times New Roman" w:hAnsi="Times New Roman" w:eastAsia="宋体"/>
        </w:rPr>
        <w:t>文中图 2~4、图 7、图 8 均基于下列同一算例计算/仿真（脚本 make_freq_response_figs.py）：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6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36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供油压力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p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S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210 bar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活塞有效面积（缸径 50 mm）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A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p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1.963×10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−3</w:t>
            </w:r>
            <w:r>
              <w:rPr>
                <w:rFonts w:ascii="Times New Roman" w:hAnsi="Times New Roman" w:eastAsia="宋体"/>
                <w:i w:val="0"/>
                <w:sz w:val="20"/>
              </w:rPr>
              <w:t xml:space="preserve"> m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2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行程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L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0.4 m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单腔死容积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V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0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1.5×10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−4</w:t>
            </w:r>
            <w:r>
              <w:rPr>
                <w:rFonts w:ascii="Times New Roman" w:hAnsi="Times New Roman" w:eastAsia="宋体"/>
                <w:i w:val="0"/>
                <w:sz w:val="20"/>
              </w:rPr>
              <w:t xml:space="preserve"> m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3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负载质量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m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t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500 kg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有效体积弹性模量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β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e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7×10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8</w:t>
            </w:r>
            <w:r>
              <w:rPr>
                <w:rFonts w:ascii="Times New Roman" w:hAnsi="Times New Roman" w:eastAsia="宋体"/>
                <w:i w:val="0"/>
                <w:sz w:val="20"/>
              </w:rPr>
              <w:t xml:space="preserve"> Pa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泄漏系数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C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l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6×10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−12</w:t>
            </w:r>
            <w:r>
              <w:rPr>
                <w:rFonts w:ascii="Times New Roman" w:hAnsi="Times New Roman" w:eastAsia="宋体"/>
                <w:i w:val="0"/>
                <w:sz w:val="20"/>
              </w:rPr>
              <w:t xml:space="preserve"> m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3</w:t>
            </w:r>
            <w:r>
              <w:rPr>
                <w:rFonts w:ascii="Times New Roman" w:hAnsi="Times New Roman" w:eastAsia="宋体"/>
                <w:i w:val="0"/>
                <w:sz w:val="20"/>
              </w:rPr>
              <w:t>/(s·Pa)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黏性摩擦系数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D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f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5000 N·s/m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库仑摩擦力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F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c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250 N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阀额定流量（u = 1，全压降）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Q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max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6×10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−4</w:t>
            </w:r>
            <w:r>
              <w:rPr>
                <w:rFonts w:ascii="Times New Roman" w:hAnsi="Times New Roman" w:eastAsia="宋体"/>
                <w:i w:val="0"/>
                <w:sz w:val="20"/>
              </w:rPr>
              <w:t xml:space="preserve"> m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3</w:t>
            </w:r>
            <w:r>
              <w:rPr>
                <w:rFonts w:ascii="Times New Roman" w:hAnsi="Times New Roman" w:eastAsia="宋体"/>
                <w:i w:val="0"/>
                <w:sz w:val="20"/>
              </w:rPr>
              <w:t>/s（36 L/min）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阀固有频率 / 阻尼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ω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v</w:t>
            </w:r>
            <w:r>
              <w:rPr>
                <w:rFonts w:ascii="Times New Roman" w:hAnsi="Times New Roman" w:eastAsia="宋体"/>
                <w:i w:val="0"/>
                <w:sz w:val="20"/>
              </w:rPr>
              <w:t>, D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v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2π·70 rad/s，0.8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阀遮盖（死区）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—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0.2%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位置环增益（图 7 闭环仿真）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K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P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40 m</w:t>
            </w:r>
            <w:r>
              <w:rPr>
                <w:rFonts w:ascii="Times New Roman" w:hAnsi="Times New Roman" w:eastAsia="宋体"/>
                <w:i w:val="0"/>
                <w:sz w:val="20"/>
                <w:vertAlign w:val="superscript"/>
              </w:rPr>
              <w:t>−1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宋体"/>
                <w:sz w:val="20"/>
              </w:rPr>
              <w:t>由此得到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ω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h</w:t>
            </w:r>
            <w:r>
              <w:rPr>
                <w:rFonts w:ascii="Times New Roman" w:hAnsi="Times New Roman" w:eastAsia="宋体"/>
                <w:i w:val="0"/>
                <w:sz w:val="20"/>
              </w:rPr>
              <w:t>, D</w:t>
            </w:r>
            <w:r>
              <w:rPr>
                <w:rFonts w:ascii="Times New Roman" w:hAnsi="Times New Roman" w:eastAsia="宋体"/>
                <w:i w:val="0"/>
                <w:sz w:val="20"/>
                <w:vertAlign w:val="subscript"/>
              </w:rPr>
              <w:t>h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 w:eastAsia="宋体"/>
                <w:i w:val="0"/>
                <w:sz w:val="20"/>
              </w:rPr>
              <w:t>141 rad/s（22.4 Hz），0.09</w:t>
            </w:r>
          </w:p>
        </w:tc>
      </w:tr>
    </w:tbl>
    <w:p>
      <w:pPr>
        <w:spacing w:after="40"/>
      </w:pPr>
    </w:p>
    <w:p>
      <w:pPr>
        <w:spacing w:after="80"/>
        <w:ind w:firstLine="480"/>
      </w:pPr>
      <w:r>
        <w:rPr>
          <w:rFonts w:ascii="Times New Roman" w:hAnsi="Times New Roman" w:eastAsia="宋体"/>
        </w:rPr>
        <w:t>非线性仿真模型包括：阀口流量的平方根压差特性与流量饱和、阀二阶动态、阀遮盖死区、库仑 + 黏性摩擦、腔室压力动态；求解采用四阶 Runge-Kutta（步长 ≤ 0.2 ms），逐频率点仿真至稳态后用相关法提取基波，与真实测试的处理方法一致。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