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爆破续升与初始升压共用同一 RiseRate（MPa/s）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原 BurstPressure / HoldTime 已删除，统一改用 BurstHoldP[1..N] / BurstHoldT[1..N]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BurstMaxLimit（水 WORD 66-67、油 114-115），到限自动停机并标记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18. ★ 爆破保压改为多段（N ≤ 10）：上位机写 BurstHoldCount + BurstHoldP[1..10] + BurstHoldT[1..10]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19. ★ 爆破 PID 独立 Kp/Ki（PP_*_Burst_Kp/Ki，WORD 184-191），与脉冲 PID 分离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20. ★ 仅保压段启用 Ki，斜坡段强制 Ki=0；相位切换时复位积分项，避免超调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21. ★ 爆破相位增加待机状态 5=待机，PLC 上电及收到运行命令后先停在 5，进入运行状态后切到 0 升压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22. ★ 新增 ILC 自学习中标志 PP_*_ILC_Learning（WORD 46-47 水、76-77 油），1=学习中 0=空闲/已收敛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 / Burst_Kp：比例增益(V/MPa)，建议从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 / Burst_Ki：积分增益(V/MPa/s)，建议先置 0，待 Kp 调好后小幅加入消除残差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Burst_Kp / Burst_Ki：爆破独立 PID 增益（与脉冲 PID 分离），仅保压段启用 Ki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RiseRate (MPa/s)：升压速率，初始升压与续升共用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BurstHoldCount：保压段数 1~10；越界自动钳到 [1,10]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BurstHoldP[1..N]：各段目标压力 (MPa)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BurstHoldT[1..N]：各段保压时长 (s)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BurstMaxLimit (MPa)：安全上限，给定到此停机并标记 BurstPhase=4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流程：5 待机 → 0 升压到 P[k] → 1 保压 → (下一段) 或 2 续升 → 3 已爆破 / 4 到上限</w:t>
      </w:r>
    </w:p>
    <w:p w14:paraId="681936E3" w14:textId="77777777" w:rsidR="00F67E89" w:rsidRDefault="00F67E89">
      <w:pPr>
        <w:rPr>
          <w:rFonts w:hint="eastAsia"/>
        </w:rPr>
      </w:pPr>
      <w:r>
        <w:t xml:space="preserve">  - 检测：实际压力 &lt; 峰值×70% 或 跌速 &lt; −20 MPa/s 触发；PP_*_BurstResult 锁存峰值压力</w:t>
      </w:r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PP_Water_BurstPressure，V4 起由 BurstHoldP[1] (WORD 1800-1801) 取代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PP_Water_HoldTime，V4 起由 BurstHoldT[1] (WORD 1820-1821) 取代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PP_Oil_BurstPressure，V4 起由 BurstHoldP[1] (WORD 1840-1841) 取代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PP_Oil_HoldTime，V4 起由 BurstHoldT[1] (WORD 1860-1861) 取代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水路爆破 PID 比例增益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水路爆破 PID 积分增益（仅保压段生效）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油路爆破 PID 比例增益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油路爆破 PID 积分增益（仅保压段生效）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水路爆破保压段数 1~10；0 或越界回落到单段(BurstPressure/HoldTime)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油路爆破保压段数 1~10；0 或越界回落到单段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200-1799</w:t>
            </w:r>
          </w:p>
        </w:tc>
        <w:tc>
          <w:tcPr>
            <w:tcW w:w="2460" w:type="dxa"/>
          </w:tcPr>
          <w:p>
            <w:r>
              <w:t>4*800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>
            <w:r>
              <w:t>波形数据，每点为一个周期内的目标压力值（800 点 LUT）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1800-1819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1820-1839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水路爆破各段保压时长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1840-1859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1860-1879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油路爆破各段保压时长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 ILC 自学习中标志 1=学习中 0=空闲/已收敛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 ILC 自学习中标志 1=学习中 0=空闲/已收敛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5=待机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5=待机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