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F172A"/>
          <w:sz w:val="26"/>
          <w:szCs w:val="26"/>
        </w:rPr>
        <w:t xml:space="preserve">STI COLLEGE TACURONG</w:t>
      </w:r>
    </w:p>
    <w:p>
      <w:pPr>
        <w:spacing w:after="240"/>
        <w:jc w:val="center"/>
      </w:pPr>
      <w:r>
        <w:rPr>
          <w:rFonts w:ascii="Arial" w:cs="Arial" w:eastAsia="Arial" w:hAnsi="Arial"/>
          <w:color w:val="475569"/>
          <w:sz w:val="20"/>
          <w:szCs w:val="20"/>
        </w:rPr>
        <w:t xml:space="preserve">Information and Communications Technology Program
Bachelor of Science in Information Technology</w:t>
      </w:r>
    </w:p>
    <w:p>
      <w:pPr>
        <w:spacing w:after="360"/>
        <w:jc w:val="center"/>
      </w:pPr>
      <w:r>
        <w:rPr>
          <w:rFonts w:ascii="Arial" w:cs="Arial" w:eastAsia="Arial" w:hAnsi="Arial"/>
          <w:b/>
          <w:bCs/>
          <w:color w:val="1E3A8A"/>
          <w:sz w:val="22"/>
          <w:szCs w:val="22"/>
        </w:rPr>
        <w:t xml:space="preserve">FORMAL REQUEST FOR PERMISSION TO ALIGN AND REFINE CAPSTONE DOCUMENTATION FOR CAPSTONE 2 FINAL DEFENSE</w:t>
      </w:r>
    </w:p>
    <w:p>
      <w:pPr>
        <w:spacing w:after="120"/>
      </w:pPr>
      <w:r>
        <w:rPr>
          <w:rFonts w:ascii="Arial" w:cs="Arial" w:eastAsia="Arial" w:hAnsi="Arial"/>
          <w:b/>
          <w:bCs/>
          <w:sz w:val="20"/>
          <w:szCs w:val="20"/>
        </w:rPr>
        <w:t xml:space="preserve">Date: </w:t>
      </w:r>
      <w:r>
        <w:rPr>
          <w:rFonts w:ascii="Arial" w:cs="Arial" w:eastAsia="Arial" w:hAnsi="Arial"/>
          <w:sz w:val="20"/>
          <w:szCs w:val="20"/>
        </w:rPr>
        <w:t xml:space="preserve">September 12, 2026</w:t>
      </w:r>
    </w:p>
    <w:p>
      <w:pPr>
        <w:spacing w:after="40"/>
      </w:pPr>
      <w:r>
        <w:rPr>
          <w:rFonts w:ascii="Arial" w:cs="Arial" w:eastAsia="Arial" w:hAnsi="Arial"/>
          <w:b/>
          <w:bCs/>
          <w:sz w:val="20"/>
          <w:szCs w:val="20"/>
        </w:rPr>
        <w:t xml:space="preserve">TO: </w:t>
      </w:r>
      <w:r>
        <w:rPr>
          <w:rFonts w:ascii="Arial" w:cs="Arial" w:eastAsia="Arial" w:hAnsi="Arial"/>
          <w:b/>
          <w:bCs/>
          <w:sz w:val="20"/>
          <w:szCs w:val="20"/>
        </w:rPr>
        <w:t xml:space="preserve">HARTH P. PALARAS</w:t>
      </w:r>
    </w:p>
    <w:p>
      <w:pPr>
        <w:spacing w:after="120"/>
      </w:pPr>
      <w:r>
        <w:rPr>
          <w:rFonts w:ascii="Arial" w:cs="Arial" w:eastAsia="Arial" w:hAnsi="Arial"/>
          <w:sz w:val="20"/>
          <w:szCs w:val="20"/>
        </w:rPr>
        <w:t xml:space="preserve">Capstone Project Adviser
STI College Tacurong</w:t>
      </w:r>
    </w:p>
    <w:p>
      <w:pPr>
        <w:spacing w:after="40"/>
      </w:pPr>
      <w:r>
        <w:rPr>
          <w:rFonts w:ascii="Arial" w:cs="Arial" w:eastAsia="Arial" w:hAnsi="Arial"/>
          <w:b/>
          <w:bCs/>
          <w:sz w:val="20"/>
          <w:szCs w:val="20"/>
        </w:rPr>
        <w:t xml:space="preserve">THRU: </w:t>
      </w:r>
      <w:r>
        <w:rPr>
          <w:rFonts w:ascii="Arial" w:cs="Arial" w:eastAsia="Arial" w:hAnsi="Arial"/>
          <w:b/>
          <w:bCs/>
          <w:sz w:val="20"/>
          <w:szCs w:val="20"/>
        </w:rPr>
        <w:t xml:space="preserve">JUFREN B. CERVANTES, MIT</w:t>
      </w:r>
    </w:p>
    <w:p>
      <w:pPr>
        <w:spacing w:after="240"/>
      </w:pPr>
      <w:r>
        <w:rPr>
          <w:rFonts w:ascii="Arial" w:cs="Arial" w:eastAsia="Arial" w:hAnsi="Arial"/>
          <w:sz w:val="20"/>
          <w:szCs w:val="20"/>
        </w:rPr>
        <w:t xml:space="preserve">Capstone Project Coordinator / Program Head
STI College Tacurong</w:t>
      </w:r>
    </w:p>
    <w:p>
      <w:pPr>
        <w:spacing w:after="200"/>
      </w:pPr>
      <w:r>
        <w:rPr>
          <w:rFonts w:ascii="Arial" w:cs="Arial" w:eastAsia="Arial" w:hAnsi="Arial"/>
          <w:b/>
          <w:bCs/>
          <w:sz w:val="20"/>
          <w:szCs w:val="20"/>
        </w:rPr>
        <w:t xml:space="preserve">SUBJECT: </w:t>
      </w:r>
      <w:r>
        <w:rPr>
          <w:rFonts w:ascii="Arial" w:cs="Arial" w:eastAsia="Arial" w:hAnsi="Arial"/>
          <w:b/>
          <w:bCs/>
          <w:color w:val="1E3A8A"/>
          <w:sz w:val="20"/>
          <w:szCs w:val="20"/>
        </w:rPr>
        <w:t xml:space="preserve">Request for Formal Permission to Align Documentation with Actual System Architecture and Value-Added Engineering Implementations</w:t>
      </w:r>
    </w:p>
    <w:p>
      <w:pPr>
        <w:spacing w:after="180"/>
      </w:pPr>
      <w:r>
        <w:rPr>
          <w:rFonts w:ascii="Arial" w:cs="Arial" w:eastAsia="Arial" w:hAnsi="Arial"/>
          <w:sz w:val="20"/>
          <w:szCs w:val="20"/>
        </w:rPr>
        <w:t xml:space="preserve">Dear Sir Palaras and Sir Cervantes,</w:t>
      </w:r>
    </w:p>
    <w:p>
      <w:pPr>
        <w:spacing w:after="180"/>
      </w:pPr>
      <w:r>
        <w:rPr>
          <w:rFonts w:ascii="Arial" w:cs="Arial" w:eastAsia="Arial" w:hAnsi="Arial"/>
          <w:sz w:val="20"/>
          <w:szCs w:val="20"/>
        </w:rPr>
        <w:t xml:space="preserve">Warm greetings.
We, the proponents of the Capstone Project titled </w:t>
      </w:r>
      <w:r>
        <w:rPr>
          <w:rFonts w:ascii="Arial" w:cs="Arial" w:eastAsia="Arial" w:hAnsi="Arial"/>
          <w:b/>
          <w:bCs/>
          <w:sz w:val="20"/>
          <w:szCs w:val="20"/>
        </w:rPr>
        <w:t xml:space="preserve">"Mobile-based Delivery Management System for Sugo Express On the Go Logistics Services - Specified to Pabili Service", </w:t>
      </w:r>
      <w:r>
        <w:rPr>
          <w:rFonts w:ascii="Arial" w:cs="Arial" w:eastAsia="Arial" w:hAnsi="Arial"/>
          <w:sz w:val="20"/>
          <w:szCs w:val="20"/>
        </w:rPr>
        <w:t xml:space="preserve">are respectfully submitting this formal letter to request permission to update and align our Capstone manuscript for our upcoming Capstone 2 Final Defense.</w:t>
      </w:r>
    </w:p>
    <w:p>
      <w:pPr>
        <w:spacing w:after="180"/>
      </w:pPr>
      <w:r>
        <w:rPr>
          <w:rFonts w:ascii="Arial" w:cs="Arial" w:eastAsia="Arial" w:hAnsi="Arial"/>
          <w:sz w:val="20"/>
          <w:szCs w:val="20"/>
        </w:rPr>
        <w:t xml:space="preserve">Under the Agile Scrum methodology approved during our Proposal Defense, our development team conducted thorough implementation, local street mapping, and live stress-testing within Tacurong City. Through these iterative sprints, we identified that our original Capstone 1 documentation contained several theoretical assumptions and hidden operational gaps that failed when tested against real-world logistics conditions.</w:t>
      </w:r>
    </w:p>
    <w:p>
      <w:pPr>
        <w:spacing w:after="180"/>
      </w:pPr>
      <w:r>
        <w:rPr>
          <w:rFonts w:ascii="Arial" w:cs="Arial" w:eastAsia="Arial" w:hAnsi="Arial"/>
          <w:sz w:val="20"/>
          <w:szCs w:val="20"/>
        </w:rPr>
        <w:t xml:space="preserve">To ensure that the system deployed for Sugo Express On the Go is production-stable, secure, and commercially viable, our team implemented necessary architectural adaptations and nine (9) value-added enterprise features. In keeping with software engineering best practices and academic integrity, we request permission to incorporate these verified implementations into our manuscript (specifically Chapters 1, 2, 3, 4, and 5) while preserving the original Project Context untouched.</w:t>
      </w:r>
    </w:p>
    <w:p>
      <w:pPr>
        <w:spacing w:after="100" w:before="200"/>
      </w:pPr>
      <w:r>
        <w:rPr>
          <w:rFonts w:ascii="Arial" w:cs="Arial" w:eastAsia="Arial" w:hAnsi="Arial"/>
          <w:b/>
          <w:bCs/>
          <w:sz w:val="20"/>
          <w:szCs w:val="20"/>
        </w:rPr>
        <w:t xml:space="preserve">Respectfully submitted by the Proponents: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gridCol w:w="100"/>
      </w:tblGrid>
      <w:tr>
        <w:tc>
          <w:tcPr>
            <w:tcBorders>
              <w:top w:val="none" w:color="auto" w:sz="0"/>
              <w:left w:val="none" w:color="auto" w:sz="0"/>
              <w:bottom w:val="none" w:color="auto" w:sz="0"/>
              <w:right w:val="none" w:color="auto" w:sz="0"/>
            </w:tcBorders>
          </w:tcPr>
          <w:p>
            <w:r>
              <w:rPr>
                <w:rFonts w:ascii="Arial" w:cs="Arial" w:eastAsia="Arial" w:hAnsi="Arial"/>
                <w:sz w:val="20"/>
                <w:szCs w:val="20"/>
              </w:rPr>
              <w:t xml:space="preserve">____________________________</w:t>
            </w:r>
          </w:p>
          <w:p>
            <w:r>
              <w:rPr>
                <w:rFonts w:ascii="Arial" w:cs="Arial" w:eastAsia="Arial" w:hAnsi="Arial"/>
                <w:b/>
                <w:bCs/>
                <w:sz w:val="20"/>
                <w:szCs w:val="20"/>
              </w:rPr>
              <w:t xml:space="preserve">ALJAYVEE P. VERSOLA</w:t>
            </w:r>
          </w:p>
          <w:p>
            <w:r>
              <w:rPr>
                <w:rFonts w:ascii="Arial" w:cs="Arial" w:eastAsia="Arial" w:hAnsi="Arial"/>
                <w:sz w:val="18"/>
                <w:szCs w:val="18"/>
              </w:rPr>
              <w:t xml:space="preserve">Lead Developer / Proponent</w:t>
            </w:r>
          </w:p>
        </w:tc>
        <w:tc>
          <w:tcPr>
            <w:tcBorders>
              <w:top w:val="none" w:color="auto" w:sz="0"/>
              <w:left w:val="none" w:color="auto" w:sz="0"/>
              <w:bottom w:val="none" w:color="auto" w:sz="0"/>
              <w:right w:val="none" w:color="auto" w:sz="0"/>
            </w:tcBorders>
          </w:tcPr>
          <w:p>
            <w:r>
              <w:rPr>
                <w:rFonts w:ascii="Arial" w:cs="Arial" w:eastAsia="Arial" w:hAnsi="Arial"/>
                <w:sz w:val="20"/>
                <w:szCs w:val="20"/>
              </w:rPr>
              <w:t xml:space="preserve">____________________________</w:t>
            </w:r>
          </w:p>
          <w:p>
            <w:r>
              <w:rPr>
                <w:rFonts w:ascii="Arial" w:cs="Arial" w:eastAsia="Arial" w:hAnsi="Arial"/>
                <w:b/>
                <w:bCs/>
                <w:sz w:val="20"/>
                <w:szCs w:val="20"/>
              </w:rPr>
              <w:t xml:space="preserve">MARK DENNIS G. BATCHARO</w:t>
            </w:r>
          </w:p>
          <w:p>
            <w:r>
              <w:rPr>
                <w:rFonts w:ascii="Arial" w:cs="Arial" w:eastAsia="Arial" w:hAnsi="Arial"/>
                <w:sz w:val="18"/>
                <w:szCs w:val="18"/>
              </w:rPr>
              <w:t xml:space="preserve">Proponent</w:t>
            </w:r>
          </w:p>
        </w:tc>
        <w:tc>
          <w:tcPr>
            <w:tcBorders>
              <w:top w:val="none" w:color="auto" w:sz="0"/>
              <w:left w:val="none" w:color="auto" w:sz="0"/>
              <w:bottom w:val="none" w:color="auto" w:sz="0"/>
              <w:right w:val="none" w:color="auto" w:sz="0"/>
            </w:tcBorders>
          </w:tcPr>
          <w:p>
            <w:r>
              <w:rPr>
                <w:rFonts w:ascii="Arial" w:cs="Arial" w:eastAsia="Arial" w:hAnsi="Arial"/>
                <w:sz w:val="20"/>
                <w:szCs w:val="20"/>
              </w:rPr>
              <w:t xml:space="preserve">____________________________</w:t>
            </w:r>
          </w:p>
          <w:p>
            <w:r>
              <w:rPr>
                <w:rFonts w:ascii="Arial" w:cs="Arial" w:eastAsia="Arial" w:hAnsi="Arial"/>
                <w:b/>
                <w:bCs/>
                <w:sz w:val="20"/>
                <w:szCs w:val="20"/>
              </w:rPr>
              <w:t xml:space="preserve">AL-DHEN U. MUSALI</w:t>
            </w:r>
          </w:p>
          <w:p>
            <w:r>
              <w:rPr>
                <w:rFonts w:ascii="Arial" w:cs="Arial" w:eastAsia="Arial" w:hAnsi="Arial"/>
                <w:sz w:val="18"/>
                <w:szCs w:val="18"/>
              </w:rPr>
              <w:t xml:space="preserve">Proponent</w:t>
            </w:r>
          </w:p>
        </w:tc>
      </w:tr>
    </w:tbl>
    <w:p>
      <w:pPr>
        <w:spacing w:after="100" w:before="300"/>
      </w:pPr>
      <w:r>
        <w:rPr>
          <w:rFonts w:ascii="Arial" w:cs="Arial" w:eastAsia="Arial" w:hAnsi="Arial"/>
          <w:b/>
          <w:bCs/>
          <w:sz w:val="20"/>
          <w:szCs w:val="20"/>
        </w:rPr>
        <w:t xml:space="preserve">Endorsement and Approval:</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Borders>
              <w:top w:val="none" w:color="auto" w:sz="0"/>
              <w:left w:val="none" w:color="auto" w:sz="0"/>
              <w:bottom w:val="none" w:color="auto" w:sz="0"/>
              <w:right w:val="none" w:color="auto" w:sz="0"/>
            </w:tcBorders>
          </w:tcPr>
          <w:p>
            <w:r>
              <w:rPr>
                <w:rFonts w:ascii="Arial" w:cs="Arial" w:eastAsia="Arial" w:hAnsi="Arial"/>
                <w:sz w:val="18"/>
                <w:szCs w:val="18"/>
              </w:rPr>
              <w:t xml:space="preserve">Recommending Approval:</w:t>
            </w:r>
          </w:p>
          <w:p>
            <w:pPr>
              <w:spacing w:before="200"/>
            </w:pPr>
            <w:r>
              <w:rPr>
                <w:rFonts w:ascii="Arial" w:cs="Arial" w:eastAsia="Arial" w:hAnsi="Arial"/>
                <w:sz w:val="20"/>
                <w:szCs w:val="20"/>
              </w:rPr>
              <w:t xml:space="preserve">_______________________________________</w:t>
            </w:r>
          </w:p>
          <w:p>
            <w:r>
              <w:rPr>
                <w:rFonts w:ascii="Arial" w:cs="Arial" w:eastAsia="Arial" w:hAnsi="Arial"/>
                <w:b/>
                <w:bCs/>
                <w:sz w:val="20"/>
                <w:szCs w:val="20"/>
              </w:rPr>
              <w:t xml:space="preserve">HARTH P. PALARAS</w:t>
            </w:r>
          </w:p>
          <w:p>
            <w:r>
              <w:rPr>
                <w:rFonts w:ascii="Arial" w:cs="Arial" w:eastAsia="Arial" w:hAnsi="Arial"/>
                <w:sz w:val="18"/>
                <w:szCs w:val="18"/>
              </w:rPr>
              <w:t xml:space="preserve">Capstone Project Adviser
Date: ________________________</w:t>
            </w:r>
          </w:p>
        </w:tc>
        <w:tc>
          <w:tcPr>
            <w:tcBorders>
              <w:top w:val="none" w:color="auto" w:sz="0"/>
              <w:left w:val="none" w:color="auto" w:sz="0"/>
              <w:bottom w:val="none" w:color="auto" w:sz="0"/>
              <w:right w:val="none" w:color="auto" w:sz="0"/>
            </w:tcBorders>
          </w:tcPr>
          <w:p>
            <w:r>
              <w:rPr>
                <w:rFonts w:ascii="Arial" w:cs="Arial" w:eastAsia="Arial" w:hAnsi="Arial"/>
                <w:sz w:val="18"/>
                <w:szCs w:val="18"/>
              </w:rPr>
              <w:t xml:space="preserve">Approved by:</w:t>
            </w:r>
          </w:p>
          <w:p>
            <w:pPr>
              <w:spacing w:before="200"/>
            </w:pPr>
            <w:r>
              <w:rPr>
                <w:rFonts w:ascii="Arial" w:cs="Arial" w:eastAsia="Arial" w:hAnsi="Arial"/>
                <w:sz w:val="20"/>
                <w:szCs w:val="20"/>
              </w:rPr>
              <w:t xml:space="preserve">_______________________________________</w:t>
            </w:r>
          </w:p>
          <w:p>
            <w:r>
              <w:rPr>
                <w:rFonts w:ascii="Arial" w:cs="Arial" w:eastAsia="Arial" w:hAnsi="Arial"/>
                <w:b/>
                <w:bCs/>
                <w:sz w:val="20"/>
                <w:szCs w:val="20"/>
              </w:rPr>
              <w:t xml:space="preserve">JUFREN B. CERVANTES, MIT</w:t>
            </w:r>
          </w:p>
          <w:p>
            <w:r>
              <w:rPr>
                <w:rFonts w:ascii="Arial" w:cs="Arial" w:eastAsia="Arial" w:hAnsi="Arial"/>
                <w:sz w:val="18"/>
                <w:szCs w:val="18"/>
              </w:rPr>
              <w:t xml:space="preserve">Capstone Project Coordinator / Program Head
Date: ________________________</w:t>
            </w:r>
          </w:p>
        </w:tc>
      </w:tr>
    </w:tbl>
    <w:p>
      <w:pPr>
        <w:pageBreakBefore/>
      </w:pPr>
    </w:p>
    <w:p>
      <w:pPr>
        <w:spacing w:after="200"/>
        <w:jc w:val="center"/>
      </w:pPr>
      <w:r>
        <w:rPr>
          <w:rFonts w:ascii="Arial" w:cs="Arial" w:eastAsia="Arial" w:hAnsi="Arial"/>
          <w:b/>
          <w:bCs/>
          <w:color w:val="1E3A8A"/>
          <w:sz w:val="22"/>
          <w:szCs w:val="22"/>
        </w:rPr>
        <w:t xml:space="preserve">ATTACHMENT A: THE 11 UNKNOWN LACKS AND OPERATIONAL GAPS IN CAPSTONE 1</w:t>
      </w:r>
    </w:p>
    <w:p>
      <w:pPr>
        <w:spacing w:after="180"/>
      </w:pPr>
      <w:r>
        <w:rPr>
          <w:rFonts w:ascii="Arial" w:cs="Arial" w:eastAsia="Arial" w:hAnsi="Arial"/>
          <w:sz w:val="20"/>
          <w:szCs w:val="20"/>
        </w:rPr>
        <w:t xml:space="preserve">During real-world development and testing under Capstone 2, the team discovered eleven (11) critical engineering omissions in the Capstone 1 documentation where theoretical assumptions broke down under live operational constraints: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tcW w:type="pct" w:w="8%"/>
            <w:tcBorders>
              <w:top w:val="single" w:color="CCCCCC" w:sz="1"/>
              <w:left w:val="single" w:color="CCCCCC" w:sz="1"/>
              <w:bottom w:val="single" w:color="CCCCCC" w:sz="1"/>
              <w:right w:val="single" w:color="CCCCCC" w:sz="1"/>
            </w:tcBorders>
            <w:shd w:fill="F1F5F9"/>
          </w:tcPr>
          <w:p>
            <w:r>
              <w:rPr>
                <w:rFonts w:ascii="Arial" w:cs="Arial" w:eastAsia="Arial" w:hAnsi="Arial"/>
                <w:b/>
                <w:bCs/>
                <w:color w:val="0F172A"/>
                <w:sz w:val="20"/>
                <w:szCs w:val="20"/>
              </w:rPr>
              <w:t xml:space="preserve">#</w:t>
            </w:r>
          </w:p>
        </w:tc>
        <w:tc>
          <w:tcPr>
            <w:tcW w:type="pct" w:w="32%"/>
            <w:tcBorders>
              <w:top w:val="single" w:color="CCCCCC" w:sz="1"/>
              <w:left w:val="single" w:color="CCCCCC" w:sz="1"/>
              <w:bottom w:val="single" w:color="CCCCCC" w:sz="1"/>
              <w:right w:val="single" w:color="CCCCCC" w:sz="1"/>
            </w:tcBorders>
            <w:shd w:fill="F1F5F9"/>
          </w:tcPr>
          <w:p>
            <w:r>
              <w:rPr>
                <w:rFonts w:ascii="Arial" w:cs="Arial" w:eastAsia="Arial" w:hAnsi="Arial"/>
                <w:b/>
                <w:bCs/>
                <w:color w:val="0F172A"/>
                <w:sz w:val="20"/>
                <w:szCs w:val="20"/>
              </w:rPr>
              <w:t xml:space="preserve">Identified Hidden Gap / Omission in Capstone 1</w:t>
            </w:r>
          </w:p>
        </w:tc>
        <w:tc>
          <w:tcPr>
            <w:tcW w:type="pct" w:w="30%"/>
            <w:tcBorders>
              <w:top w:val="single" w:color="CCCCCC" w:sz="1"/>
              <w:left w:val="single" w:color="CCCCCC" w:sz="1"/>
              <w:bottom w:val="single" w:color="CCCCCC" w:sz="1"/>
              <w:right w:val="single" w:color="CCCCCC" w:sz="1"/>
            </w:tcBorders>
            <w:shd w:fill="F1F5F9"/>
          </w:tcPr>
          <w:p>
            <w:r>
              <w:rPr>
                <w:rFonts w:ascii="Arial" w:cs="Arial" w:eastAsia="Arial" w:hAnsi="Arial"/>
                <w:b/>
                <w:bCs/>
                <w:color w:val="0F172A"/>
                <w:sz w:val="20"/>
                <w:szCs w:val="20"/>
              </w:rPr>
              <w:t xml:space="preserve">Real-World Operational Breakdown Observed</w:t>
            </w:r>
          </w:p>
        </w:tc>
        <w:tc>
          <w:tcPr>
            <w:tcW w:type="pct" w:w="30%"/>
            <w:tcBorders>
              <w:top w:val="single" w:color="CCCCCC" w:sz="1"/>
              <w:left w:val="single" w:color="CCCCCC" w:sz="1"/>
              <w:bottom w:val="single" w:color="CCCCCC" w:sz="1"/>
              <w:right w:val="single" w:color="CCCCCC" w:sz="1"/>
            </w:tcBorders>
            <w:shd w:fill="F1F5F9"/>
          </w:tcPr>
          <w:p>
            <w:r>
              <w:rPr>
                <w:rFonts w:ascii="Arial" w:cs="Arial" w:eastAsia="Arial" w:hAnsi="Arial"/>
                <w:b/>
                <w:bCs/>
                <w:color w:val="0F172A"/>
                <w:sz w:val="20"/>
                <w:szCs w:val="20"/>
              </w:rPr>
              <w:t xml:space="preserve">Engineering Solution Implemented in Capstone 2</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1</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No Sequential Multi-Stop Routing Formula</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stated ₱30 for extra stores up to 2 stops, but lacked any formula for measuring cumulative road distance across multiple stops.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Codified exact sequential formula: D_total = sum(dist(Sk, Sk+1)) + dist(Sn, C) with 2.0km base radius allowance and ₱10/km excess.</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2</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Unstated Database Authority &amp; Source of Truth</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listed MySQL and Firebase in Figure 2, but never specified which database has authoritative truth during status conflicts.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Defined strict hybrid partition: MariaDB is the ACID source of truth for money, orders, and users; Firebase is a live projection for telemetry.</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3</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GPS Stationary Jitter &amp; Signal Bouncing</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assumed phone GPS returns clean coordinates. Inside metal-roof commercial stores, GPS bounces 30-80m, triggering false arrival alerts.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Built GPS Quality Gate rejecting accuracy &gt;50m, dampening stationary jitter (&lt;0.5m/s and &lt;15m), and rejecting out-of-order timestamps.</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4</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Store Queue Wait Times (Dwell Time) vs Travel Time</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omitted delivery ETA calculations. Driving in Tacurong takes 5-8 mins; 80% of customer wait time is the rider queuing in stores.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Built background learning job (jobs/dwellLearning.ts) tracking P50/P80 queue wait times per store category to render honest ETA windows.</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5</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Multi-Dispatcher Concurrent Order Collisions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diagrams allowed dispatchers to assign riders, but lacked concurrency guards if two dispatchers click the same order simultaneously.</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Engineered Single-Dispatcher Ownership Scoping (verifyDispatcherAccess) preventing BOLA/IDOR conflicts with dedicated conflict UI.</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6</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Arbitrary Barangay Zones vs Actual Road Geography</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proposed ₱70 Poblacion + ₱10 neighboring barangay zones. A store 200m away across a border was unfairly surcharged vs 3.5km in-zone.</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Retired the Zone model completely. Integrated Open Source Routing Machine (OSRM) and Google Directions for road-network distance.</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7</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Commercial SMS Gateway Cost Barrier</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promised automated SMS for OTPs and status alerts. Commercial SMS gateways cost ₱0.50-₱1.00/SMS, creating unsustainable recurring costs.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Implemented secure Universal SMTP Email OTP Relay via Nodemailer and Expo Push Notifications, operating with 100% free delivery.</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8</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Enterprise Security, Token Lifespans &amp; Rate Limiting</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Security requirements only had 3 sentences. Lacked password hashing specs, session hijacking defenses, or brute-force rate limiting.</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Implemented Bcrypt hashing, 15-min memory access tokens, 30-day rotating refresh tokens in user_sessions, and express-rate-limit.</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9</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Manual Rider Typo Risk on Receipt Amounts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REQ023 only asked for a receipt photo, assuming riders accurately type numbers manually while rushing on the field.</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Integrated Google ML Kit OCR text recognition (@react-native-ml-kit/text-recognition) to auto-extract printed receipt totals via camera.</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10</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Budget Phone Viewport Distortion (Samsung A04)</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assumed generic Android 10 screens. On real riders' phones (Samsung A04, 360dp width), fonts clipped and keyboards covered submit buttons.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Engineered mathematical typography clamping [0.85x, 1.10x], 60/120 FPS hardware transforms, and 110dp bottom scroll clearance.</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11</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Offline Action Duplication &amp; Idempotency</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Paper promised SQLite caching, but lacked rules for preventing duplicate errand updates when offline devices reconnect to the server.</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Built idempotent action logging with unique clientPointId and backfilled timestamps, ensuring zero duplicate errand charges on reconnect.</w:t>
            </w:r>
          </w:p>
        </w:tc>
      </w:tr>
    </w:tbl>
    <w:p>
      <w:pPr>
        <w:pageBreakBefore/>
      </w:pPr>
    </w:p>
    <w:p>
      <w:pPr>
        <w:spacing w:after="200"/>
        <w:jc w:val="center"/>
      </w:pPr>
      <w:r>
        <w:rPr>
          <w:rFonts w:ascii="Arial" w:cs="Arial" w:eastAsia="Arial" w:hAnsi="Arial"/>
          <w:b/>
          <w:bCs/>
          <w:color w:val="1E3A8A"/>
          <w:sz w:val="22"/>
          <w:szCs w:val="22"/>
        </w:rPr>
        <w:t xml:space="preserve">ATTACHMENT B: MASTER CHAPTER-BY-CHAPTER MODIFICATION MAPPING</w:t>
      </w:r>
    </w:p>
    <w:p>
      <w:pPr>
        <w:spacing w:after="180"/>
      </w:pPr>
      <w:r>
        <w:rPr>
          <w:rFonts w:ascii="Arial" w:cs="Arial" w:eastAsia="Arial" w:hAnsi="Arial"/>
          <w:sz w:val="20"/>
          <w:szCs w:val="20"/>
        </w:rPr>
        <w:t xml:space="preserve">The following matrix details the precise modifications, replacements, and additions to be applied across Chapters 1, 2, 3, 4, and 5 of the Capstone manuscript (leaving Chapter 1 Project Context strictly preserved):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pct" w:w="20%"/>
            <w:tcBorders>
              <w:top w:val="single" w:color="CCCCCC" w:sz="1"/>
              <w:left w:val="single" w:color="CCCCCC" w:sz="1"/>
              <w:bottom w:val="single" w:color="CCCCCC" w:sz="1"/>
              <w:right w:val="single" w:color="CCCCCC" w:sz="1"/>
            </w:tcBorders>
            <w:shd w:fill="F1F5F9"/>
          </w:tcPr>
          <w:p>
            <w:r>
              <w:rPr>
                <w:rFonts w:ascii="Arial" w:cs="Arial" w:eastAsia="Arial" w:hAnsi="Arial"/>
                <w:b/>
                <w:bCs/>
                <w:color w:val="0F172A"/>
                <w:sz w:val="20"/>
                <w:szCs w:val="20"/>
              </w:rPr>
              <w:t xml:space="preserve">Chapter / Section</w:t>
            </w:r>
          </w:p>
        </w:tc>
        <w:tc>
          <w:tcPr>
            <w:tcW w:type="pct" w:w="35%"/>
            <w:tcBorders>
              <w:top w:val="single" w:color="CCCCCC" w:sz="1"/>
              <w:left w:val="single" w:color="CCCCCC" w:sz="1"/>
              <w:bottom w:val="single" w:color="CCCCCC" w:sz="1"/>
              <w:right w:val="single" w:color="CCCCCC" w:sz="1"/>
            </w:tcBorders>
            <w:shd w:fill="F1F5F9"/>
          </w:tcPr>
          <w:p>
            <w:r>
              <w:rPr>
                <w:rFonts w:ascii="Arial" w:cs="Arial" w:eastAsia="Arial" w:hAnsi="Arial"/>
                <w:b/>
                <w:bCs/>
                <w:color w:val="0F172A"/>
                <w:sz w:val="20"/>
                <w:szCs w:val="20"/>
              </w:rPr>
              <w:t xml:space="preserve">Current Text / Capstone 1 Specification</w:t>
            </w:r>
          </w:p>
        </w:tc>
        <w:tc>
          <w:tcPr>
            <w:tcW w:type="pct" w:w="45%"/>
            <w:tcBorders>
              <w:top w:val="single" w:color="CCCCCC" w:sz="1"/>
              <w:left w:val="single" w:color="CCCCCC" w:sz="1"/>
              <w:bottom w:val="single" w:color="CCCCCC" w:sz="1"/>
              <w:right w:val="single" w:color="CCCCCC" w:sz="1"/>
            </w:tcBorders>
            <w:shd w:fill="F1F5F9"/>
          </w:tcPr>
          <w:p>
            <w:r>
              <w:rPr>
                <w:rFonts w:ascii="Arial" w:cs="Arial" w:eastAsia="Arial" w:hAnsi="Arial"/>
                <w:b/>
                <w:bCs/>
                <w:color w:val="0F172A"/>
                <w:sz w:val="20"/>
                <w:szCs w:val="20"/>
              </w:rPr>
              <w:t xml:space="preserve">Proposed Modification / Capstone 2 Alignment</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1: Project Context
(Lines 323-344)</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Documents historical operations of Sugo Express, manual messenger chats, blue logbook, and Zoom interview findings with owner.</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100% PRESERVED AND UNTOUCHED. Maintained as the true historical baseline problem statement.</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1: Purpose &amp; Description
(Lines 347-420)</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Describes starting delivery fee calculated from barangay zones and SMS notifications.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Update service rate description to specify sequential road-network distance routing (2.0km base radius allowance + ₱10/km excess). Update notification description to in-app push alerts and Email OTP verification.</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1: Objectives
(Lines 421-450)</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General objectives mentioning basic rider tracking and plain receipt photo uploads.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Explicitly add Machine Learning OCR receipt reading, 4-state fleet radar telemetry, and automated end-of-day PDF settlement generation to specific objectives.</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1: Scope &amp; Limitations
(Lines 451-483)</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Line 483 states route optimization is excluded and relies on basic built-in GPS.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Clarify that while dynamic traffic jam AI is excluded, actual road-network distance routing via OSRM was implemented to replace inaccurate straight-line zones. Note that customer registration uses secure Email OTP verification.</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2: Theoretical Considerations
(Line 532)</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Discusses JavaScript runtime, prototype theory, and event loop.</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Expand to formally include TypeScript 5, justifying compile-time type safety across client and server architectures.</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2: Mobile Framework Review
(Line 528)</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Discusses Flutter and Dart framework exclusively.</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Add comparative review of React Native (Expo SDK 57) vs Flutter. Justify choosing React Native to unify Web, Mobile, and Backend under one TypeScript codebase.</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2: Intelligent Transportation Systems
(Line 504)</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Basic GPS theory in last-mile delivery.</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Add Open Source Routing Machine (OSRM) graph theory and multi-tier routing fallback chains (OSRM -&gt; Google Directions -&gt; Detour-scaled Haversine).</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3: Technical Background
(Lines 589-600, Tables 4, 5, 9, 10)</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Tables specify Flutter, Dart, SQLite, MySQL, and Android Studio Otter.</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Update tables to: React Native (Expo SDK 57), TypeScript 5, React 18, Vite 6, Tailwind CSS v4, AsyncStorage, MariaDB 10.x, and Prisma ORM 5.10.</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3: Network Design
(Figure 2, Lines 661-664)</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Basic diagram of devices connecting to router and cloud services.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Update Figure 2 to illustrate 3-tier architecture: Mobile/Web clients connecting via REST and WebSockets to Node.js Express API (Port 5000), persisting to MariaDB (ACID truth) and Firebase RTDB (Live telemetry).</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3: Database Normalization
(Lines 2634-4914, Tables 73-94)</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Preliminary draft tables with single flat pabili_orders entity.</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Update to strict 3NF Errand Schema: Parent table 'errands' (lifecycle, coordinates, fees) and Child table 'pabili_details_tbl' (itemized pabili lines). Add 'user_sessions' entity for rotating token security.</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4: System Implementation &amp; Features
(Lines 1044-2374)</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Old wireframes and 53 storyboard requirements.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Replace wireframes with actual high-resolution screenshots of the deployed system. Add dedicated section: 'Value-Added Production Hardening' detailing OCR scanning, dwell time learning, 4-state fleet radar, and BOLA locks.</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4: Non-Functional Benchmarks
(Lines 2375-2392)</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Proposed 5-10 second database response times and 5-10 second report generation.</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Document live empirical test results proving database queries respond in 10-80ms and settlement reports generate in 1-2 seconds, exceeding proposed targets.</w:t>
            </w:r>
          </w:p>
        </w:tc>
      </w:tr>
      <w:tr>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Chapter 5: Conclusions &amp; Recommendations</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General conclusions on digital transformation.</w:t>
            </w:r>
          </w:p>
        </w:tc>
        <w:tc>
          <w:tcPr>
            <w:tcBorders>
              <w:top w:val="single" w:color="CCCCCC" w:sz="1"/>
              <w:left w:val="single" w:color="CCCCCC" w:sz="1"/>
              <w:bottom w:val="single" w:color="CCCCCC" w:sz="1"/>
              <w:right w:val="single" w:color="CCCCCC" w:sz="1"/>
            </w:tcBorders>
          </w:tcPr>
          <w:p>
            <w:r>
              <w:rPr>
                <w:rFonts w:ascii="Arial" w:cs="Arial" w:eastAsia="Arial" w:hAnsi="Arial"/>
                <w:b w:val="false"/>
                <w:bCs w:val="false"/>
                <w:color w:val="334155"/>
                <w:sz w:val="19"/>
                <w:szCs w:val="19"/>
              </w:rPr>
              <w:t xml:space="preserve">Conclude that automating 70/30 commission splits eliminated 3+ hours of daily logbook reconciliation. Recommend integrating commercial SMS gateways and formal BSP-regulated InstaPay merchant APIs once business secures formal corporate incorporation.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STI College Tacurong - BSIT Capstone 2 Project Revision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2026-09-11T20:45:35.916Z</dcterms:created>
  <dcterms:modified xsi:type="dcterms:W3CDTF">2026-09-11T20:45:35.919Z</dcterms:modified>
</cp:coreProperties>
</file>

<file path=docProps/custom.xml><?xml version="1.0" encoding="utf-8"?>
<Properties xmlns="http://schemas.openxmlformats.org/officeDocument/2006/custom-properties" xmlns:vt="http://schemas.openxmlformats.org/officeDocument/2006/docPropsVTypes"/>
</file>