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003876"/>
          <w:sz w:val="26"/>
          <w:szCs w:val="26"/>
        </w:rPr>
        <w:t xml:space="preserve">STI COLLEGE TACURONG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475569"/>
          <w:sz w:val="18"/>
          <w:szCs w:val="18"/>
        </w:rPr>
        <w:t xml:space="preserve">DEPARTMENT OF INFORMATION TECHNOLOGY &amp; COMPUTER STUDIES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Alunan Highway, Poblacion, Tacurong City, Sultan Kudarat 9800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876" w:sz="16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0" w:before="0"/>
            </w:pPr>
          </w:p>
        </w:tc>
      </w:tr>
    </w:tbl>
    <w:p>
      <w:pPr>
        <w:spacing w:after="140" w:before="80"/>
        <w:jc w:val="center"/>
      </w:pPr>
      <w:r>
        <w:rPr>
          <w:rFonts w:ascii="Calibri" w:cs="Calibri" w:eastAsia="Calibri" w:hAnsi="Calibri"/>
          <w:b/>
          <w:bCs/>
          <w:color w:val="0F2C59"/>
          <w:sz w:val="22"/>
          <w:szCs w:val="22"/>
        </w:rPr>
        <w:t xml:space="preserve">FORMAL REQUEST FOR APPROVAL OF CAPSTONE 1 DOCUMENTATION REVISIONS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September 12, 2026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TO:	</w:t>
      </w:r>
      <w:r>
        <w:rPr>
          <w:b/>
          <w:bCs/>
          <w:sz w:val="20"/>
          <w:szCs w:val="20"/>
        </w:rPr>
        <w:t xml:space="preserve">JUFREN B. CERVANTES, MIT</w:t>
      </w:r>
      <w:r>
        <w:rPr>
          <w:color w:val="475569"/>
          <w:sz w:val="19"/>
          <w:szCs w:val="19"/>
        </w:rPr>
        <w:t xml:space="preserve"> — Program Head / Capstone Coordinator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	</w:t>
      </w:r>
      <w:r>
        <w:rPr>
          <w:b/>
          <w:bCs/>
          <w:sz w:val="20"/>
          <w:szCs w:val="20"/>
        </w:rPr>
        <w:t xml:space="preserve">HARTH PAMA PALARAS</w:t>
      </w:r>
      <w:r>
        <w:rPr>
          <w:color w:val="475569"/>
          <w:sz w:val="19"/>
          <w:szCs w:val="19"/>
        </w:rPr>
        <w:t xml:space="preserve"> — Capstone Project Adviser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SUBJECT:	</w:t>
      </w:r>
      <w:r>
        <w:rPr>
          <w:b/>
          <w:bCs/>
          <w:color w:val="003876"/>
          <w:sz w:val="20"/>
          <w:szCs w:val="20"/>
        </w:rPr>
        <w:t xml:space="preserve">Request for Approval to Revise Capstone 1 Documentation to Align with Capstone 2 Implementation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Dear Sir Cervantes and Sir Palaras,</w:t>
      </w:r>
    </w:p>
    <w:p>
      <w:pPr>
        <w:spacing w:after="120" w:line="260"/>
        <w:jc w:val="both"/>
      </w:pPr>
      <w:r>
        <w:rPr>
          <w:sz w:val="20"/>
          <w:szCs w:val="20"/>
        </w:rPr>
        <w:t xml:space="preserve">We, the proponents of the capstone project entitled </w:t>
      </w:r>
      <w:r>
        <w:rPr>
          <w:b/>
          <w:bCs/>
          <w:sz w:val="20"/>
          <w:szCs w:val="20"/>
        </w:rPr>
        <w:t xml:space="preserve">“Mobile-based Delivery Management System for Sugo On the Go Logistics Services Specified to Pabili Service,” </w:t>
      </w:r>
      <w:r>
        <w:rPr>
          <w:sz w:val="20"/>
          <w:szCs w:val="20"/>
        </w:rPr>
        <w:t xml:space="preserve">respectfully request formal approval to revise and update selected sections of our Capstone 1 documentation. These revisions are necessary to establish complete consistency between our academic manuscript and the actual working system developed in Capstone 2.</w:t>
      </w:r>
    </w:p>
    <w:p>
      <w:pPr>
        <w:spacing w:after="80"/>
        <w:jc w:val="both"/>
      </w:pPr>
      <w:r>
        <w:rPr>
          <w:sz w:val="20"/>
          <w:szCs w:val="20"/>
        </w:rPr>
        <w:t xml:space="preserve">During real-world development and field testing in Tacurong City, critical technical improvements were implemented to solve production challenges that were unanticipated in Capstone 1. The major architectural modifications are summarized below: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Domain</w:t>
            </w:r>
          </w:p>
        </w:tc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Capstone 1 Specification (Original)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Capstone 2 Implementation (Proposed Update)</w:t>
            </w:r>
          </w:p>
        </w:tc>
      </w:tr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Mobile &amp; Web Framework</w:t>
            </w:r>
          </w:p>
        </w:tc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Flutter, Dart, SQLite local storage, and Android Studio IDE.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Native (Expo SDK 57), TypeScript 5, React 18, Vite 6, and AsyncStorage local caching.</w:t>
            </w:r>
          </w:p>
        </w:tc>
      </w:tr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Database &amp; Backend API</w:t>
            </w:r>
          </w:p>
        </w:tc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Unnormalized single-table MySQL (pabili_orders) with basic queries.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MariaDB 10.x with Prisma ORM 5.10 under strict 3NF schema (errands + pabili_details_tbl) and Node.js Express API.</w:t>
            </w:r>
          </w:p>
        </w:tc>
      </w:tr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GIS, Routing &amp; Telemetry</w:t>
            </w:r>
          </w:p>
        </w:tc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Proposed base delivery fee plus fee per 1 km (Line 349), but lacked an automated road-network GIS routing engine.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Source Routing Machine (OSRM) road-network kilometer routing, Firebase Realtime Database telemetry, and Google Maps API.</w:t>
            </w:r>
          </w:p>
        </w:tc>
      </w:tr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Security, OCR &amp; Comm.</w:t>
            </w:r>
          </w:p>
        </w:tc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Commercial SMS gateway for OTP, plain receipt photos, basic passwords.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Universal SMTP Email OTP Relay (eliminates SMS carrier costs), Google ML Kit OCR receipt scanning, Bcrypt &amp; rotating JWT sessions.</w:t>
            </w:r>
          </w:p>
        </w:tc>
      </w:tr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Operations &amp; Governance</w:t>
            </w:r>
          </w:p>
        </w:tc>
        <w:tc>
          <w:tcPr>
            <w:tcW w:type="pct" w:w="3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Only 4 periodic reports; no operational dispute triage or financial exception tracking.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Dispatcher Exception Queue ('Needs a Decision') and 5th official Owner report ('Exception Report') with immutable audit trail.</w:t>
            </w:r>
          </w:p>
        </w:tc>
      </w:tr>
    </w:tbl>
    <w:p>
      <w:pPr>
        <w:spacing w:after="120" w:before="100" w:line="260"/>
        <w:jc w:val="both"/>
      </w:pPr>
      <w:r>
        <w:rPr>
          <w:b/>
          <w:bCs/>
          <w:color w:val="003876"/>
          <w:sz w:val="20"/>
          <w:szCs w:val="20"/>
        </w:rPr>
        <w:t xml:space="preserve">Policy Compliance Assurance: </w:t>
      </w:r>
      <w:r>
        <w:rPr>
          <w:sz w:val="20"/>
          <w:szCs w:val="20"/>
        </w:rPr>
        <w:t xml:space="preserve">Please be assured that </w:t>
      </w:r>
      <w:r>
        <w:rPr>
          <w:b/>
          <w:bCs/>
          <w:sz w:val="20"/>
          <w:szCs w:val="20"/>
        </w:rPr>
        <w:t xml:space="preserve">Chapter 1: Project Context (Lines 323–344) remains 100% preserved and untouched</w:t>
      </w:r>
      <w:r>
        <w:rPr>
          <w:sz w:val="20"/>
          <w:szCs w:val="20"/>
        </w:rPr>
        <w:t xml:space="preserve"> as the immutable historical baseline problem statement. All proposed revisions are strictly confined to technical specifications, architectural diagrams, data models, and empirical testing findings. Detailed operational gap analyses and chapter-by-chapter mapping are attached in Appendix 1 and Appendix 2.</w:t>
      </w:r>
    </w:p>
    <w:p>
      <w:pPr>
        <w:spacing w:after="140"/>
      </w:pPr>
      <w:r>
        <w:rPr>
          <w:sz w:val="20"/>
          <w:szCs w:val="20"/>
        </w:rPr>
        <w:t xml:space="preserve">Thank you very much for your valued time, guidance, and favorable consideration.</w:t>
      </w:r>
      <w:r>
        <w:rPr>
          <w:sz w:val="20"/>
          <w:szCs w:val="20"/>
        </w:rPr>
        <w:t xml:space="preserve">
Respectfully yours,</w:t>
      </w:r>
    </w:p>
    <w:p>
      <w:pPr>
        <w:spacing w:after="40"/>
      </w:pPr>
      <w:r>
        <w:rPr>
          <w:b/>
          <w:bCs/>
          <w:color w:val="475569"/>
          <w:sz w:val="19"/>
          <w:szCs w:val="19"/>
        </w:rPr>
        <w:t xml:space="preserve">CAPSTONE PROJECT PROPONENTS: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/>
            </w:pPr>
            <w:r>
              <w:rPr>
                <w:color w:val="CBD5E1"/>
                <w:sz w:val="19"/>
                <w:szCs w:val="19"/>
              </w:rPr>
              <w:t xml:space="preserve">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ALJAYVEE P. VERSOLA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Lead Developer / Proponent</w:t>
            </w:r>
          </w:p>
        </w:tc>
        <w:tc>
          <w:tcPr>
            <w:tcW w:type="pct" w:w="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/>
            </w:pPr>
            <w:r>
              <w:rPr>
                <w:color w:val="CBD5E1"/>
                <w:sz w:val="19"/>
                <w:szCs w:val="19"/>
              </w:rPr>
              <w:t xml:space="preserve">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AL-DHEN U. MUSALI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System Analyst / Proponent</w:t>
            </w:r>
          </w:p>
        </w:tc>
        <w:tc>
          <w:tcPr>
            <w:tcW w:type="pct" w:w="34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/>
            </w:pPr>
            <w:r>
              <w:rPr>
                <w:color w:val="CBD5E1"/>
                <w:sz w:val="19"/>
                <w:szCs w:val="19"/>
              </w:rPr>
              <w:t xml:space="preserve">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MARK DENNIS G. BATCHARO</w:t>
            </w:r>
          </w:p>
          <w:p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Quality Assurance / Proponent</w:t>
            </w:r>
          </w:p>
        </w:tc>
      </w:tr>
    </w:tbl>
    <w:p>
      <w:pPr>
        <w:spacing w:after="40" w:before="140"/>
      </w:pPr>
      <w:r>
        <w:rPr>
          <w:b/>
          <w:bCs/>
          <w:color w:val="475569"/>
          <w:sz w:val="19"/>
          <w:szCs w:val="19"/>
        </w:rPr>
        <w:t xml:space="preserve">RECOMMENDING APPROVAL AND CONCURRENCE: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/>
            </w:pPr>
            <w:r>
              <w:rPr>
                <w:color w:val="CBD5E1"/>
                <w:sz w:val="19"/>
                <w:szCs w:val="19"/>
              </w:rPr>
              <w:t xml:space="preserve">____________________________________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HARTH PAMA PALARAS</w:t>
            </w:r>
          </w:p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Capstone Project Adviser
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/>
            </w:pPr>
            <w:r>
              <w:rPr>
                <w:color w:val="CBD5E1"/>
                <w:sz w:val="19"/>
                <w:szCs w:val="19"/>
              </w:rPr>
              <w:t xml:space="preserve">____________________________________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JUFREN B. CERVANTES, MIT</w:t>
            </w:r>
          </w:p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Program Head / Capstone Coordinator
Date: ________________________</w:t>
            </w:r>
          </w:p>
        </w:tc>
      </w:tr>
    </w:tbl>
    <w:p>
      <w:pPr>
        <w:pageBreakBefore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2C59"/>
          <w:sz w:val="24"/>
          <w:szCs w:val="24"/>
        </w:rPr>
        <w:t xml:space="preserve">APPENDIX 1: OPERATIONAL GAPS AND VALUE-ADDED HARDENING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Detailed Analysis of 12 Real-World Production Challenges Identified During Capstone 2 Field Testing</w:t>
      </w:r>
    </w:p>
    <w:tbl>
      <w:tblPr>
        <w:tblW w:type="pct" w:w="100%"/>
        <w:tblBorders>
          <w:top w:val="none" w:color="auto" w:sz="0"/>
          <w:left w:val="single" w:color="00387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03876"/>
                <w:sz w:val="18"/>
                <w:szCs w:val="18"/>
              </w:rPr>
              <w:t xml:space="preserve">Executive Context: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While the Capstone 1 proposal specified core business objectives, actual pilot testing with Sugo Express operations in Tacurong City uncovered critical real-world friction points. The table below documents each operational gap encountered in the field alongside the rigorous engineering solution implemented in Capstone 2.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Identified Architectural Gap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Real-World Operational Friction in Field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Implemented Solution in Capstone 2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Sequential Multi-Stop Routing Formula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Mathematical distance omission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proposed ₱30 for extra store stops (up to 2), but lacked a mathematical formula for routing sequentially from Store A to Store B to Customer. Without a formula, dispatchers guessed distance fees.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Codified exact cumulative sequential distance formula: D_total = sum(dist(Sk, Sk+1)) + dist(Sn, C) with 2.0km base radius allowance (₱70) and ₱10/km excess.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Database Source of Truth Ambiguity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Dual-database conflict risk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listed MySQL and Firebase together without defining architectural authority. In production, simultaneous writes to both databases caused state desynchronization and phantom payments.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Defined strict hybrid architecture: MariaDB (via Prisma ORM) is the ACID source of truth for transactions, errands, and audit logs; Firebase RTDB is a lightweight read-optimized projection for real-time telemetry.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GPS Multipath Jitter &amp; Signal Drift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Urban &amp; tin-roof GPS distortion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assumed smartphone GPS returns clean coordinates. In commercial centers with metal roofs, GPS drifted 30–80 meters while parked, triggering false geofence arrivals and jumpy tracking maps.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Built dual-side GPS Quality Gate: client and server reject accuracy &gt;50m, hold coordinates during stationary jitter (&lt;0.5m/s and &lt;15m), and reject out-of-order timestamps.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Store Queue Dwell Time in ETA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Underestimated customer wait time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omitted delivery ETA models. In Pabili errands, motorcycle transit takes only 5–8 minutes, while 80% of customer wait time is the rider queuing inside pharmacies, groceries, and fast-food stores.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Implemented automated background dwell-time learning (jobs/dwellLearning.ts) computing P50/P80 queue wait times per store category, displaying realistic ETA ranges (e.g. 20–30 mins).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Multi-Dispatcher Order Collisions (BOLA)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Race conditions in dispatch queue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allowed multiple dispatchers to manage queues. In testing, two dispatchers clicking the same incoming errand simultaneously assigned two different riders to one customer.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Engineered Single-Dispatcher Ownership Scoping with server-side BOLA/IDOR locks (verifyDispatcherAccess), preventing double claims and displaying a conflict warning UI.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Manual Distance Estimation vs True Road Routing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Lack of GIS routing calculation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proposed calculating base delivery fee plus fee per 1 km (Line 349) and included a Barangay table (Table 78), but lacked an automated road-network GIS routing engine. Calculating distances manually or via straight-line led to inaccurate and disputable fee estimates.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Integrated Open Source Routing Machine (OSRM) and Google Directions API to calculate true turn-by-turn road-network distance, establishing an objective 2.0km base radius allowance (₱70) and ₱10/km excess.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Commercial SMS Gateway Cost Barrier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Unsustainable operational expenses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specified SMS text messages for customer OTP and order alerts. Commercial SMS gateways charge ₱0.50–₱1.00 per SMS, incurring severe monthly expenses for a student startup.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Implemented secure Universal SMTP Email OTP Relay via Nodemailer and Expo Push Notifications, achieving zero-cost verification with provider anti-spam safeguards.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Enterprise Security &amp; Session Revocation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Vulnerability to session hijacking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had only three vague security sentences. Storing tokens in localStorage or using un-expiring tokens exposed users to XSS attacks and session hijacking.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Implemented Bcrypt password hashing, short-lived 15-minute in-memory access tokens, 30-day rotating refresh tokens stored in user_sessions, and express-rate-limit brute-force protection.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Manual Rider Typo Risk on Receipts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Manual cash discrepancy errors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REQ023 only required uploading a receipt photo. Riders typing totals manually on motorcycle handlebars frequently made typo errors, causing end-of-day cash reconciliation disputes.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Integrated Google ML Kit on-device text recognition (@react-native-ml-kit/text-recognition) to automatically read printed totals and store names directly from camera images.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Budget Phone Viewport &amp; Keyboard Occlusion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UI breakage on entry-level Android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assumed standard high-end screens. On riders' actual budget phones (Samsung Galaxy A04, 360dp width), oversized fonts clipped, and soft keyboards covered primary action buttons.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Engineered mathematical typography clamping [0.85x, 1.10x], 60/120 FPS hardware-accelerated transform translateY sheet animations, and 110dp bottom scroll clearance.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Offline Action Duplication &amp; Idempotency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Duplicate charging on network drops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proposed offline SQLite caching without duplicate-prevention rules. When riders reconnected to 4G after poor cellular coverage, buffered status requests repeated, causing duplicate log entries.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Implemented idempotent action logging using client-generated clientPointId tokens and backfilled timestamps, guaranteeing exactly-once transaction processing upon reconnect.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Reconciliation Exception Governance &amp; Reporting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No dispute triage or audit log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Paper specified only 4 periodic reports (Sales, Rider, Commission, Settlement) and assumed zero-defect deliveries. In production, real-world field anomalies (cash variances, missing receipts, budget overages, wrong branches) occurred without a structured resolution system, causing untracked financial leaks.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Engineered the 8-state Exception Engine (exceptionRules.ts), Dispatcher 'Needs a Decision' Queue, Owner 'Exception Report' (5th official report with CSV/PDF export), and immutable database-backed exception_reviews audit logging with mandatory reviewer reasons.</w:t>
            </w:r>
          </w:p>
        </w:tc>
      </w:tr>
    </w:tbl>
    <w:p>
      <w:pPr>
        <w:pageBreakBefore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2C59"/>
          <w:sz w:val="24"/>
          <w:szCs w:val="24"/>
        </w:rPr>
        <w:t xml:space="preserve">APPENDIX 2: MASTER CHAPTER-BY-CHAPTER MANUSCRIPT REVISION MATRIX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Comprehensive Alignment Plan for Chapters 1 to 5 of the Capstone Manuscript</w:t>
      </w:r>
    </w:p>
    <w:tbl>
      <w:tblPr>
        <w:tblW w:type="pct" w:w="100%"/>
        <w:tblBorders>
          <w:top w:val="none" w:color="auto" w:sz="0"/>
          <w:left w:val="single" w:color="10B981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8"/>
                <w:szCs w:val="18"/>
              </w:rPr>
              <w:t xml:space="preserve">STRICT ACADEMIC INTEGRITY INVARIANT: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Chapter 1: Project Context (Lines 323–344) will remain </w:t>
            </w:r>
            <w:r>
              <w:rPr>
                <w:rFonts w:ascii="Calibri" w:cs="Calibri" w:eastAsia="Calibri" w:hAnsi="Calibri"/>
                <w:b/>
                <w:bCs/>
                <w:color w:val="047857"/>
                <w:sz w:val="18"/>
                <w:szCs w:val="18"/>
              </w:rPr>
              <w:t xml:space="preserve">100% PRESERVED AND UNTOUCHED.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 serves as the historical baseline documenting Sugo Express's pre-system manual operations (Facebook Messenger chats, blue paper logbooks, and owner interview findings). Revisions across all other sections strictly align technological specifications with the working prototype.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Chapter &amp; Manuscript Section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Original Capstone 1 Specification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3876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Proposed Capstone 2 Manuscript Alignment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1: Project Context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323–344)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Documents the manual operations of Sugo Express, manual messenger chats, logbook entries, and findings from initial interviews with owner.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7857"/>
                <w:sz w:val="18"/>
                <w:szCs w:val="18"/>
              </w:rPr>
              <w:t xml:space="preserve">100% PRESERVED AND UNTOUCHED.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Maintained verbatim as the historical baseline problem statement.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1: Purpose &amp; Description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347–420)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Describes starting delivery fee with fee per 1 km from store point (Line 349) and SMS notifications.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rate calculation description to specify sequential road-network distance routing (2.0km base radius allowance + ₱10/km excess). Update customer notification description to in-app push alerts and Universal Email OTP verification. Add the Exception Management Queue (Dispatcher) and Exception Report (Owner) to core operational functions.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1: Objectives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421–450)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General objectives mentioning basic rider tracking and plain receipt photo uploads.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Explicitly incorporate Machine Learning OCR receipt reading, 4-state fleet radar telemetry, automated end-of-day PDF settlement generation, and operational Exception Tracking &amp; Auditing (5th periodic report) into the specific objectives.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1: Scope &amp; Limitations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451–483)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Line 483 states route optimization is excluded and relies on basic built-in smartphone GPS.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Clarify that while dynamic traffic AI is excluded, actual road-network distance routing via OSRM was implemented. Note that customer onboarding uses secure Email OTP, and formally document the Owner Portal's 5th reporting module: Exception Report (reconciliation audit trails and risk exposure).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2: Theoretical Considerations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504–545)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Discusses JavaScript runtime, Flutter/Dart theory, and basic GPS in last-mile delivery.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 comparative review of React Native (Expo SDK 57) vs Flutter; justify selecting TypeScript 5 for cross-platform type safety; and include OSRM graph routing algorithms with Haversine fallback models.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3: Technical Background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(Tables 4, 5, 9, 10)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Software tables specify Flutter, Dart, SQLite, MySQL, and Android Studio Otter.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software tables to: React Native (Expo SDK 57), TypeScript 5, React 18, Vite 6, Tailwind CSS v4, AsyncStorage, MariaDB 10.x, and Prisma ORM 5.10.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3: Network Design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(Figure 2, Lines 661–664)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Basic diagram of client devices connecting directly to a router and cloud database.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Figure 2 to illustrate the 3-tier architecture: Mobile &amp; Web clients connecting via REST and WebSockets to the Node.js Express API (Port 5000), backed by MariaDB (ACID truth) and Firebase RTDB (Live telemetry).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3: Database Normalization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2634–4914, Tables 73–94)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Preliminary draft tables with single flat pabili_orders entity.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to strict 3NF Errand Schema: Parent table 'errands' (lifecycle, coordinates, fees) and Child table 'pabili_details_tbl' (itemized pabili lines). Add 'user_sessions' entity for rotating token security and 'exception_reviews' table (model ExceptionReview: immutable reviewer audit logs, reason strings, and frozen amounts at risk).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4: System Implementation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1044–2374)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Early design wireframes and 53 storyboard requirements.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Replace wireframes with actual high-resolution screenshots of the deployed system. Document the 5th official reporting module: 'Exception Report' (with live metrics, CSV, and PDF export) and the Dispatcher's 'Needs a Decision' Exception Queue. Add dedicated section: 'Value-Added Production Hardening' detailing OCR scanning, dwell time learning, 4-state fleet radar, and BOLA locks.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4: Non-Functional Benchmarks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(Lines 2375–2392)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Proposed 5–10 second database response times and 5–10 second report generation.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 live empirical test results proving database queries execute in 10–80ms and settlement reports generate in 1–2 seconds, exceeding proposed targets.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Chapter 5: Conclusions &amp; Future Work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(Concluding sections)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General conclusions on digital transformation.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Conclude that automating 70/30 commission splits eliminated 3+ hours of daily logbook reconciliation. Recommend integrating commercial SMS gateways and formal BSP-regulated InstaPay merchant APIs once business secures formal corporate incorporation.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Sugo On-the-Go Logistics Management System (Specified to Pabili)</w:t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STI College Tacurong • Capstone Project Documentation Revision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2026-09-11T21:19:13.017Z</dcterms:created>
  <dcterms:modified xsi:type="dcterms:W3CDTF">2026-09-11T21:19:13.031Z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