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  <w:spacing w:after="120"/>
      </w:pPr>
      <w:r>
        <w:t xml:space="preserve">A Real-Time Deep Learning Framework for Vehicle Theft Detection Using Object Detection</w:t>
      </w:r>
    </w:p>
    <w:p>
      <w:pPr>
        <w:pStyle w:val="Heading2"/>
        <w:spacing w:after="120"/>
      </w:pPr>
      <w:r>
        <w:t xml:space="preserve">Research foundation for an undergraduate project</w:t>
      </w:r>
    </w:p>
    <w:p>
      <w:pPr>
        <w:spacing w:after="120"/>
      </w:pPr>
      <w:r>
        <w:rPr>
          <w:b/>
        </w:rPr>
        <w:t xml:space="preserve">Compiled:</w:t>
      </w:r>
      <w:r>
        <w:t xml:space="preserve"> August 2026 </w:t>
      </w:r>
      <w:r>
        <w:rPr>
          <w:b/>
        </w:rPr>
        <w:t xml:space="preserve">Status:</w:t>
      </w:r>
      <w:r>
        <w:t xml:space="preserve"> literature review + research design. Citations gathered via web search and summarised second-hand — </w:t>
      </w:r>
      <w:r>
        <w:rPr>
          <w:b/>
        </w:rPr>
        <w:t xml:space="preserve">every reference marked ⚠ must be opened and verified before it enters your bibliography.</w:t>
      </w:r>
      <w:r>
        <w:t xml:space="preserve"> Do not cite a paper you have not read.</w:t>
      </w:r>
    </w:p>
    <w:p>
      <w:pPr>
        <w:spacing w:after="200"/>
      </w:pPr>
    </w:p>
    <w:p>
      <w:pPr>
        <w:pStyle w:val="Heading2"/>
        <w:spacing w:after="120"/>
      </w:pPr>
      <w:r>
        <w:t xml:space="preserve">1. Problem framing</w:t>
      </w:r>
    </w:p>
    <w:p>
      <w:pPr>
        <w:pStyle w:val="Heading3"/>
        <w:spacing w:after="120"/>
      </w:pPr>
      <w:r>
        <w:t xml:space="preserve">1.1 The honest motivation</w:t>
      </w:r>
    </w:p>
    <w:p>
      <w:pPr>
        <w:spacing w:after="120"/>
      </w:pPr>
      <w:r>
        <w:t xml:space="preserve">Most undergraduate reports on this topic open with "vehicle theft is rising." For 2024–2026, in the United States, </w:t>
      </w:r>
      <w:r>
        <w:rPr>
          <w:b/>
        </w:rPr>
        <w:t xml:space="preserve">that is false</w:t>
      </w:r>
      <w:r>
        <w:t xml:space="preserve">, and an examiner who knows the numbers will notice.</w:t>
      </w:r>
    </w:p>
    <w:p>
      <w:pPr>
        <w:spacing w:after="120"/>
      </w:pPr>
      <w:r>
        <w:t xml:space="preserve">The National Insurance Crime Bureau reports vehicle theft </w:t>
      </w:r>
      <w:r>
        <w:rPr>
          <w:b/>
        </w:rPr>
        <w:t xml:space="preserve">fell 23% in 2025</w:t>
      </w:r>
      <w:r>
        <w:t xml:space="preserve"> to 659,880 vehicles — the lowest in decades, and 35.4% below the 2023 peak. The national rate dropped from 126.62 to 97.33 per 100,000 residents. 49 states reported declines. ⚠(</w:t>
      </w:r>
      <w:hyperlink r:id="rId100">
        <w:r>
          <w:rPr>
            <w:u w:val="single"/>
            <w:color w:val="0B5CAB"/>
          </w:rPr>
          <w:t xml:space="preserve">NICB historic decline</w:t>
        </w:r>
      </w:hyperlink>
      <w:r>
        <w:t xml:space="preserve">, </w:t>
      </w:r>
      <w:hyperlink r:id="rId101">
        <w:r>
          <w:rPr>
            <w:u w:val="single"/>
            <w:color w:val="0B5CAB"/>
          </w:rPr>
          <w:t xml:space="preserve">NICB H1 2025</w:t>
        </w:r>
      </w:hyperlink>
      <w:r>
        <w:t xml:space="preserve">)</w:t>
      </w:r>
    </w:p>
    <w:p>
      <w:pPr>
        <w:spacing w:after="120"/>
      </w:pPr>
      <w:r>
        <w:t xml:space="preserve">So do not argue from a rising trend. Three defensible motivations remain, and they are stronger because they survive the falling numbers:</w:t>
      </w:r>
    </w:p>
    <w:p>
      <w:pPr>
        <w:spacing w:after="120"/>
      </w:pPr>
      <w:r>
        <w:rPr>
          <w:b/>
        </w:rPr>
        <w:t xml:space="preserve">(a) Absolute burden is still large.</w:t>
      </w:r>
      <w:r>
        <w:t xml:space="preserve"> 659,880 thefts is not a small number. NHTSA put annual owner cost above </w:t>
      </w:r>
      <w:r>
        <w:rPr>
          <w:b/>
        </w:rPr>
        <w:t xml:space="preserve">$8 billion</w:t>
      </w:r>
      <w:r>
        <w:t xml:space="preserve">; the FBI's 2019 per-vehicle average was </w:t>
      </w:r>
      <w:r>
        <w:rPr>
          <w:b/>
        </w:rPr>
        <w:t xml:space="preserve">$8,886</w:t>
      </w:r>
      <w:r>
        <w:t xml:space="preserve"> across $6.4bn in losses — figures predating recent vehicle-price inflation.</w:t>
      </w:r>
    </w:p>
    <w:p>
      <w:pPr>
        <w:spacing w:after="120"/>
      </w:pPr>
      <w:r>
        <w:t xml:space="preserve">*</w:t>
      </w:r>
      <w:r>
        <w:rPr>
          <w:i/>
        </w:rPr>
        <w:t xml:space="preserve">(b) The decline is attributable to </w:t>
      </w:r>
      <w:r>
        <w:t xml:space="preserve">prevention</w:t>
      </w:r>
      <w:r>
        <w:rPr>
          <w:i/>
        </w:rPr>
        <w:t xml:space="preserve">, not detection.</w:t>
      </w:r>
      <w:r>
        <w:rPr>
          <w:i/>
        </w:rPr>
        <w:t xml:space="preserve"> HLDI found the Hyundai/Kia anti-theft software upgrade cut theft frequency </w:t>
      </w:r>
      <w:r>
        <w:rPr>
          <w:i/>
        </w:rPr>
        <w:t xml:space="preserve">64%</w:t>
      </w:r>
      <w:r>
        <w:rPr>
          <w:i/>
        </w:rPr>
        <w:t xml:space="preserve">. That is an immobiliser fix — a hardening measure. It says nothing about the cases that still happen, and it is direct evidence that targeted technical intervention works. Your system addresses a different link in the chain: </w:t>
      </w:r>
      <w:r>
        <w:t xml:space="preserve">detection and alerting during the attempt.*</w:t>
      </w:r>
    </w:p>
    <w:p>
      <w:pPr>
        <w:spacing w:after="120"/>
      </w:pPr>
      <w:r>
        <w:rPr>
          <w:b/>
        </w:rPr>
        <w:t xml:space="preserve">(c) Recovery is where the gap is, and it is time-critical.</w:t>
      </w:r>
      <w:r>
        <w:t xml:space="preserve"> California recovered 84% of stolen passenger vehicles in 2025; Colorado 80%. But </w:t>
      </w:r>
      <w:r>
        <w:rPr>
          <w:b/>
        </w:rPr>
        <w:t xml:space="preserve">recreational vehicles: 63% never recovered.</w:t>
      </w:r>
      <w:r>
        <w:t xml:space="preserve"> ATVs: only 23% recovered. Motorcycles: 41%. Critically, </w:t>
      </w:r>
      <w:r>
        <w:rPr>
          <w:b/>
        </w:rPr>
        <w:t xml:space="preserve">more than half of all recoveries happen within two weeks, with odds narrowing as time passes.</w:t>
      </w:r>
      <w:r>
        <w:t xml:space="preserve"> ⚠(</w:t>
      </w:r>
      <w:hyperlink r:id="rId102">
        <w:r>
          <w:rPr>
            <w:u w:val="single"/>
            <w:color w:val="0B5CAB"/>
          </w:rPr>
          <w:t xml:space="preserve">NICB RV report</w:t>
        </w:r>
      </w:hyperlink>
      <w:r>
        <w:t xml:space="preserve">)</w:t>
      </w:r>
    </w:p>
    <w:p>
      <w:pPr>
        <w:spacing w:after="120"/>
      </w:pPr>
      <w:r>
        <w:rPr>
          <w:b/>
        </w:rPr>
        <w:t xml:space="preserve">(c) is your strongest argument.</w:t>
      </w:r>
      <w:r>
        <w:t xml:space="preserve"> Detection latency directly determines recovery probability. A system that alerts in seconds rather than hours attacks the exact variable the recovery data says matters. Frame your contribution there.</w:t>
      </w:r>
    </w:p>
    <w:p>
      <w:pPr>
        <w:pStyle w:val="Heading3"/>
        <w:spacing w:after="120"/>
      </w:pPr>
      <w:r>
        <w:t xml:space="preserve">1.2 The CCTV evidence gap — your real research justification</w:t>
      </w:r>
    </w:p>
    <w:p>
      <w:pPr>
        <w:spacing w:after="120"/>
      </w:pPr>
      <w:r>
        <w:t xml:space="preserve">Conventional CCTV is passive: it records for post-hoc investigation and relies on a human watching, which at scale nobody does.</w:t>
      </w:r>
    </w:p>
    <w:p>
      <w:pPr>
        <w:spacing w:after="120"/>
      </w:pPr>
      <w:r>
        <w:t xml:space="preserve">The rigorous evidence for CCTV preventing vehicle theft is </w:t>
      </w:r>
      <w:r>
        <w:rPr>
          <w:b/>
        </w:rPr>
        <w:t xml:space="preserve">thinner than most reports assume.</w:t>
      </w:r>
      <w:r>
        <w:t xml:space="preserve"> A quasi-experimental study in the </w:t>
      </w:r>
      <w:r>
        <w:rPr>
          <w:i/>
        </w:rPr>
        <w:t xml:space="preserve">Justice Evaluation Journal</w:t>
      </w:r>
      <w:r>
        <w:t xml:space="preserve"> (2025) used GIS hot-spot mapping and 18 months of pre/post data with weighted displacement quotient measures, finding burglary/MVT/theft fell </w:t>
      </w:r>
      <w:r>
        <w:rPr>
          <w:b/>
        </w:rPr>
        <w:t xml:space="preserve">8.5% in hot spots while control areas rose 13.4%</w:t>
      </w:r>
      <w:r>
        <w:t xml:space="preserve"> — a net ~20 percentage point effect, but </w:t>
      </w:r>
      <w:r>
        <w:rPr>
          <w:b/>
        </w:rPr>
        <w:t xml:space="preserve">from a single small-city site.</w:t>
      </w:r>
      <w:r>
        <w:t xml:space="preserve"> ⚠(</w:t>
      </w:r>
      <w:hyperlink r:id="rId103">
        <w:r>
          <w:rPr>
            <w:u w:val="single"/>
            <w:color w:val="0B5CAB"/>
          </w:rPr>
          <w:t xml:space="preserve">Justice Evaluation Journal</w:t>
        </w:r>
      </w:hyperlink>
      <w:r>
        <w:t xml:space="preserve">)</w:t>
      </w:r>
    </w:p>
    <w:p>
      <w:pPr>
        <w:spacing w:after="120"/>
      </w:pPr>
      <w:r>
        <w:t xml:space="preserve">Historically, Campbell Collaboration reviews found CCTV most effective </w:t>
      </w:r>
      <w:r>
        <w:rPr>
          <w:i/>
        </w:rPr>
        <w:t xml:space="preserve">specifically in car parks</w:t>
      </w:r>
      <w:r>
        <w:t xml:space="preserve"> — which is precisely your deployment context. </w:t>
      </w:r>
      <w:r>
        <w:rPr>
          <w:b/>
        </w:rPr>
        <w:t xml:space="preserve">Find and cite that review directly; it is the single most valuable citation for your introduction and I have not verified it here.</w:t>
      </w:r>
    </w:p>
    <w:p>
      <w:pPr>
        <w:spacing w:after="120"/>
      </w:pPr>
      <w:r>
        <w:t xml:space="preserve">And the operational failure mode is documented: false alarms are a persistent problem that </w:t>
      </w:r>
      <w:r>
        <w:rPr>
          <w:b/>
        </w:rPr>
        <w:t xml:space="preserve">desensitises operators</w:t>
      </w:r>
      <w:r>
        <w:t xml:space="preserve">, which is why the field is moving to AI classification of person vs. vehicle vs. animal. ⚠(</w:t>
      </w:r>
      <w:hyperlink r:id="rId104">
        <w:r>
          <w:rPr>
            <w:u w:val="single"/>
            <w:color w:val="0B5CAB"/>
          </w:rPr>
          <w:t xml:space="preserve">EyeQ Monitoring</w:t>
        </w:r>
      </w:hyperlink>
      <w:r>
        <w:t xml:space="preserve"> — trade source, use for context only, not as evidence)</w:t>
      </w:r>
    </w:p>
    <w:p>
      <w:pPr>
        <w:spacing w:after="120"/>
      </w:pPr>
      <w:r>
        <w:rPr>
          <w:b/>
        </w:rPr>
        <w:t xml:space="preserve">This directly validates your threat-scoring design.</w:t>
      </w:r>
      <w:r>
        <w:t xml:space="preserve"> Your </w:t>
      </w:r>
      <w:r>
        <w:rPr>
          <w:rFonts w:ascii="Consolas" w:hAnsi="Consolas"/>
          <w:color w:val="333333"/>
          <w:sz w:val="19"/>
        </w:rPr>
        <w:t xml:space="preserve">-50</w:t>
      </w:r>
      <w:r>
        <w:t xml:space="preserve"> owner suppression rule and the "no single condition alerts alone" invariant are not implementation conveniences — they are the mechanism addressing the documented failure mode of the systems you are replacing. Say so explicitly in your report. It converts an engineering decision into a research contribution.</w:t>
      </w:r>
    </w:p>
    <w:p>
      <w:pPr>
        <w:spacing w:after="200"/>
      </w:pPr>
    </w:p>
    <w:p>
      <w:pPr>
        <w:pStyle w:val="Heading2"/>
        <w:spacing w:after="120"/>
      </w:pPr>
      <w:r>
        <w:t xml:space="preserve">2. Literature review</w:t>
      </w:r>
    </w:p>
    <w:p>
      <w:pPr>
        <w:pStyle w:val="Heading3"/>
        <w:spacing w:after="120"/>
      </w:pPr>
      <w:r>
        <w:t xml:space="preserve">2.1 Directly comparable systems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Work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Approach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Reported result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Note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Real-time theft detection in urban surveillance ⚠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YOLOv4/v5/v8 + plate recognition + web alerts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YOLOv8: 98% hidden plates, 99% visible, 97% carts</w:t>
            </w:r>
          </w:p>
        </w:tc>
        <w:tc>
          <w:tcPr/>
          <w:p>
            <w:pPr>
              <w:spacing w:after="40"/>
            </w:pPr>
            <w:r>
              <w:rPr>
                <w:b/>
                <w:sz w:val="18"/>
              </w:rPr>
              <w:t xml:space="preserve">Closest analogue to your architecture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Optimized hybrid car theft framework ⚠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Deep transfer learning vs. feature-based ML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survey + comparison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Good related-work source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MSAC-SOA (cited within above) ⚠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Multi-scale attention CNN + improved SSD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99.88% accuracy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Treat with suspicion — see §2.4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Stolen vehicle surveillance ⚠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YOLOv7 + DeepSORT + interactive map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Tracking-integrated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Theft Detection with cGAN + YOLO ⚠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cGAN vs YOLOv3 vs YOLOv5, weapons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97.8% / 89.9% / 87.5%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Note: cGAN </w:t>
            </w:r>
            <w:r>
              <w:rPr>
                <w:b/>
                <w:sz w:val="18"/>
              </w:rPr>
              <w:t xml:space="preserve">beat</w:t>
            </w:r>
            <w:r>
              <w:rPr>
                <w:sz w:val="18"/>
              </w:rPr>
              <w:t xml:space="preserve"> YOLO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Retail theft classification ⚠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YOLOv8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95% accuracy, 12 ms/frame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Retail, not vehicular</w:t>
            </w:r>
          </w:p>
        </w:tc>
      </w:tr>
    </w:tbl>
    <w:p>
      <w:pPr>
        <w:spacing w:after="0"/>
      </w:pPr>
    </w:p>
    <w:p>
      <w:pPr>
        <w:spacing w:after="120"/>
      </w:pPr>
      <w:r>
        <w:t xml:space="preserve">Sources: </w:t>
      </w:r>
      <w:hyperlink r:id="rId105">
        <w:r>
          <w:rPr>
            <w:u w:val="single"/>
            <w:color w:val="0B5CAB"/>
          </w:rPr>
          <w:t xml:space="preserve">ScienceDirect urban theft</w:t>
        </w:r>
      </w:hyperlink>
      <w:r>
        <w:t xml:space="preserve"> · </w:t>
      </w:r>
      <w:hyperlink r:id="rId106">
        <w:r>
          <w:rPr>
            <w:u w:val="single"/>
            <w:color w:val="0B5CAB"/>
          </w:rPr>
          <w:t xml:space="preserve">Springer hybrid framework</w:t>
        </w:r>
      </w:hyperlink>
      <w:r>
        <w:t xml:space="preserve"> · </w:t>
      </w:r>
      <w:hyperlink r:id="rId107">
        <w:r>
          <w:rPr>
            <w:u w:val="single"/>
            <w:color w:val="0B5CAB"/>
          </w:rPr>
          <w:t xml:space="preserve">Springer cGAN+YOLO</w:t>
        </w:r>
      </w:hyperlink>
      <w:r>
        <w:t xml:space="preserve"> · </w:t>
      </w:r>
      <w:hyperlink r:id="rId108">
        <w:r>
          <w:rPr>
            <w:u w:val="single"/>
            <w:color w:val="0B5CAB"/>
          </w:rPr>
          <w:t xml:space="preserve">IIETA retail</w:t>
        </w:r>
      </w:hyperlink>
    </w:p>
    <w:p>
      <w:pPr>
        <w:pStyle w:val="Heading3"/>
        <w:spacing w:after="120"/>
      </w:pPr>
      <w:r>
        <w:t xml:space="preserve">2.2 The gap you can legitimately claim</w:t>
      </w:r>
    </w:p>
    <w:p>
      <w:pPr>
        <w:spacing w:after="120"/>
      </w:pPr>
      <w:r>
        <w:t xml:space="preserve">Searching specifically for stolen-</w:t>
      </w:r>
      <w:r>
        <w:rPr>
          <w:i/>
        </w:rPr>
        <w:t xml:space="preserve">vehicle</w:t>
      </w:r>
      <w:r>
        <w:t xml:space="preserve"> systems, the literature is </w:t>
      </w:r>
      <w:r>
        <w:rPr>
          <w:b/>
        </w:rPr>
        <w:t xml:space="preserve">dominated by traffic management and vehicle counting.</w:t>
      </w:r>
      <w:r>
        <w:t xml:space="preserve"> YOLOv8+DeepSORT work is almost entirely about traffic flow, speed estimation, and counting — not theft.</w:t>
      </w:r>
    </w:p>
    <w:p>
      <w:pPr>
        <w:spacing w:after="120"/>
      </w:pPr>
      <w:r>
        <w:t xml:space="preserve">The gap is not "nobody has used YOLO for theft." That is false and claiming it will be caught. </w:t>
      </w:r>
      <w:r>
        <w:rPr>
          <w:b/>
        </w:rPr>
        <w:t xml:space="preserve">The defensible gap is the specific combination:</w:t>
      </w:r>
    </w:p>
    <w:p>
      <w:pPr>
        <w:ind w:left="480"/>
        <w:spacing w:after="160"/>
        <w:pBdr>
          <w:left w:val="single" w:sz="18" w:space="8" w:color="4472C4"/>
        </w:pBdr>
      </w:pPr>
      <w:r>
        <w:rPr>
          <w:i/>
        </w:rPr>
        <w:t xml:space="preserve">Plate recognition cross-referenced against an ownership database, </w:t>
      </w:r>
      <w:r>
        <w:rPr>
          <w:b/>
          <w:i/>
        </w:rPr>
        <w:t xml:space="preserve">fused with face-based owner authorisation</w:t>
      </w:r>
      <w:r>
        <w:rPr>
          <w:i/>
        </w:rPr>
        <w:t xml:space="preserve">, producing a graduated threat score rather than a binary alarm, evaluated with honest edge-hardware latency figures.</w:t>
      </w:r>
    </w:p>
    <w:p>
      <w:pPr>
        <w:spacing w:after="120"/>
      </w:pPr>
      <w:r>
        <w:t xml:space="preserve">The face-recognition-as-authorisation layer is genuinely uncommon in the vehicle-theft literature. Most work stops at "is this plate on a stolen list." Your </w:t>
      </w:r>
      <w:r>
        <w:rPr>
          <w:rFonts w:ascii="Consolas" w:hAnsi="Consolas"/>
          <w:color w:val="333333"/>
          <w:sz w:val="19"/>
        </w:rPr>
        <w:t xml:space="preserve">-50</w:t>
      </w:r>
      <w:r>
        <w:t xml:space="preserve"> owner-present suppression has no clear analogue in the papers found. </w:t>
      </w:r>
      <w:r>
        <w:rPr>
          <w:b/>
        </w:rPr>
        <w:t xml:space="preserve">That is your contribution — a false-alarm suppression mechanism grounded in identity, not a novel detector architecture.</w:t>
      </w:r>
      <w:r>
        <w:t xml:space="preserve"> Claim that, and nothing more.</w:t>
      </w:r>
    </w:p>
    <w:p>
      <w:pPr>
        <w:pStyle w:val="Heading3"/>
        <w:spacing w:after="120"/>
      </w:pPr>
      <w:r>
        <w:t xml:space="preserve">2.3 Detector backbone: which YOLO, and why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Version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Key innovation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Trade-off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YOLOv8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C2f module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Higher compute cost; less efficient than successors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YOLOv9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PGI + GELAN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Strong accuracy, </w:t>
            </w:r>
            <w:r>
              <w:rPr>
                <w:b/>
                <w:sz w:val="18"/>
              </w:rPr>
              <w:t xml:space="preserve">slow inference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YOLOv10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One-to-one head, NMS-free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Fast/small, accuracy lags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YOLO11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C3k2 + C2PSA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22% fewer params than v8m at ≥ accuracy; ~2% faster than v10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YOLOv12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Attention-centric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Claims best speed+accuracy; </w:t>
            </w:r>
            <w:r>
              <w:rPr>
                <w:b/>
                <w:sz w:val="18"/>
              </w:rPr>
              <w:t xml:space="preserve">results inconsistent on edge</w:t>
            </w:r>
          </w:p>
        </w:tc>
      </w:tr>
    </w:tbl>
    <w:p>
      <w:pPr>
        <w:spacing w:after="0"/>
      </w:pPr>
    </w:p>
    <w:p>
      <w:pPr>
        <w:spacing w:after="120"/>
      </w:pPr>
      <w:r>
        <w:t xml:space="preserve">On vehicle detection specifically: YOLOv8 </w:t>
      </w:r>
      <w:r>
        <w:rPr>
          <w:b/>
        </w:rPr>
        <w:t xml:space="preserve">45.2%</w:t>
      </w:r>
      <w:r>
        <w:t xml:space="preserve"> mAP@[.5:.95], YOLOv10 </w:t>
      </w:r>
      <w:r>
        <w:rPr>
          <w:b/>
        </w:rPr>
        <w:t xml:space="preserve">46.7%</w:t>
      </w:r>
      <w:r>
        <w:t xml:space="preserve">, YOLOv11 </w:t>
      </w:r>
      <w:r>
        <w:rPr>
          <w:b/>
        </w:rPr>
        <w:t xml:space="preserve">48.5%</w:t>
      </w:r>
      <w:r>
        <w:t xml:space="preserve">, with v11 notably better on small objects. ⚠(</w:t>
      </w:r>
      <w:hyperlink r:id="rId109">
        <w:r>
          <w:rPr>
            <w:u w:val="single"/>
            <w:color w:val="0B5CAB"/>
          </w:rPr>
          <w:t xml:space="preserve">arXiv 2410.22898</w:t>
        </w:r>
      </w:hyperlink>
      <w:r>
        <w:t xml:space="preserve">)</w:t>
      </w:r>
    </w:p>
    <w:p>
      <w:pPr>
        <w:spacing w:after="120"/>
      </w:pPr>
      <w:r>
        <w:t xml:space="preserve">There is </w:t>
      </w:r>
      <w:r>
        <w:rPr>
          <w:b/>
        </w:rPr>
        <w:t xml:space="preserve">genuine tension in the literature</w:t>
      </w:r>
      <w:r>
        <w:t xml:space="preserve">: the YOLOv12 paper claims the speed/accuracy frontier, while applied edge studies still find YOLO11 the best practical balance, and one MDPI single-board-computer benchmark found </w:t>
      </w:r>
      <w:r>
        <w:rPr>
          <w:b/>
        </w:rPr>
        <w:t xml:space="preserve">YOLOv12 results inconsistent</w:t>
      </w:r>
      <w:r>
        <w:t xml:space="preserve"> on Raspberry Pi. ⚠(</w:t>
      </w:r>
      <w:hyperlink r:id="rId110">
        <w:r>
          <w:rPr>
            <w:u w:val="single"/>
            <w:color w:val="0B5CAB"/>
          </w:rPr>
          <w:t xml:space="preserve">arXiv 2411.00201</w:t>
        </w:r>
      </w:hyperlink>
      <w:r>
        <w:t xml:space="preserve">, </w:t>
      </w:r>
      <w:hyperlink r:id="rId111">
        <w:r>
          <w:rPr>
            <w:u w:val="single"/>
            <w:color w:val="0B5CAB"/>
          </w:rPr>
          <w:t xml:space="preserve">MDPI SBC benchmark</w:t>
        </w:r>
      </w:hyperlink>
      <w:r>
        <w:t xml:space="preserve">)</w:t>
      </w:r>
    </w:p>
    <w:p>
      <w:pPr>
        <w:spacing w:after="120"/>
      </w:pPr>
      <w:r>
        <w:rPr>
          <w:b/>
        </w:rPr>
        <w:t xml:space="preserve">Report implication:</w:t>
      </w:r>
      <w:r>
        <w:t xml:space="preserve"> your codebase uses YOLOv8n. That is now two generations old. You have two honest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Justify it</w:t>
      </w:r>
      <w:r>
        <w:t xml:space="preserve"> — v8n is the most documented, most stable Ultralytics release,</w:t>
      </w:r>
    </w:p>
    <w:p>
      <w:pPr>
        <w:spacing w:after="120"/>
      </w:pPr>
      <w:r>
        <w:t xml:space="preserve">with the widest deployment literature; reproducibility beats marginal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Run the comparison</w:t>
      </w:r>
      <w:r>
        <w:t xml:space="preserve"> — benchmark v8n vs v11n vs v12n on your own plate</w:t>
      </w:r>
    </w:p>
    <w:p>
      <w:pPr>
        <w:spacing w:after="120"/>
      </w:pPr>
      <w:r>
        <w:t xml:space="preserve">dataset. This is cheap (same API, one loop) and turns a weakness into a contribution: an empirical detector-selection study on </w:t>
      </w:r>
      <w:r>
        <w:rPr>
          <w:i/>
        </w:rPr>
        <w:t xml:space="preserve">your</w:t>
      </w:r>
      <w:r>
        <w:t xml:space="preserve"> task.</w:t>
      </w:r>
    </w:p>
    <w:p>
      <w:pPr>
        <w:spacing w:after="120"/>
      </w:pPr>
      <w:r>
        <w:rPr>
          <w:b/>
        </w:rPr>
        <w:t xml:space="preserve">Do option 2 if you have time.</w:t>
      </w:r>
      <w:r>
        <w:t xml:space="preserve"> It is the single highest-value addition available to you, and your </w:t>
      </w:r>
      <w:r>
        <w:rPr>
          <w:rFonts w:ascii="Consolas" w:hAnsi="Consolas"/>
          <w:color w:val="333333"/>
          <w:sz w:val="19"/>
        </w:rPr>
        <w:t xml:space="preserve">training/evaluate.py</w:t>
      </w:r>
      <w:r>
        <w:t xml:space="preserve"> already produces the metrics and plots. Note the vehicle-detection numbers above predict v11 should win — if it does, you have replicated a published finding on a new task, which is exactly what an undergraduate project should demonstrate.</w:t>
      </w:r>
    </w:p>
    <w:p>
      <w:pPr>
        <w:pStyle w:val="Heading3"/>
        <w:spacing w:after="120"/>
      </w:pPr>
      <w:r>
        <w:t xml:space="preserve">2.4 ANPR / plate recognition</w:t>
      </w:r>
    </w:p>
    <w:p>
      <w:pPr>
        <w:spacing w:after="120"/>
      </w:pPr>
      <w:r>
        <w:t xml:space="preserve">Standard pipeline is two-stage: YOLO localises, OCR reads.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System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Reported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YOLOv10 + Tesseract (Thai)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99.16% detection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OCR-YOLOv8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98.1%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YOLOv7 + PaddleOCR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97% detect / 95% char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YOLOv3-tiny + PyTesseract (edge)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94%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YOLO + OCR (Indian plates)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87.2% mAP (T4 GPU)</w:t>
            </w:r>
          </w:p>
        </w:tc>
      </w:tr>
    </w:tbl>
    <w:p>
      <w:pPr>
        <w:spacing w:after="0"/>
      </w:pPr>
    </w:p>
    <w:p>
      <w:pPr>
        <w:spacing w:after="120"/>
      </w:pPr>
      <w:r>
        <w:t xml:space="preserve">⚠ Sources: </w:t>
      </w:r>
      <w:hyperlink r:id="rId112">
        <w:r>
          <w:rPr>
            <w:u w:val="single"/>
            <w:color w:val="0B5CAB"/>
          </w:rPr>
          <w:t xml:space="preserve">ScienceDirect YOLO-World ANPR</w:t>
        </w:r>
      </w:hyperlink>
      <w:r>
        <w:t xml:space="preserve"> · </w:t>
      </w:r>
      <w:hyperlink r:id="rId113">
        <w:r>
          <w:rPr>
            <w:u w:val="single"/>
            <w:color w:val="0B5CAB"/>
          </w:rPr>
          <w:t xml:space="preserve">Egyptian YOLOv8+EasyOCR</w:t>
        </w:r>
      </w:hyperlink>
      <w:r>
        <w:t xml:space="preserve"> · </w:t>
      </w:r>
      <w:hyperlink r:id="rId114">
        <w:r>
          <w:rPr>
            <w:u w:val="single"/>
            <w:color w:val="0B5CAB"/>
          </w:rPr>
          <w:t xml:space="preserve">ETASR constrained devices</w:t>
        </w:r>
      </w:hyperlink>
      <w:r>
        <w:t xml:space="preserve"> · </w:t>
      </w:r>
      <w:hyperlink r:id="rId115">
        <w:r>
          <w:rPr>
            <w:u w:val="single"/>
            <w:color w:val="0B5CAB"/>
          </w:rPr>
          <w:t xml:space="preserve">Nature Sci Reports ALPR</w:t>
        </w:r>
      </w:hyperlink>
    </w:p>
    <w:p>
      <w:pPr>
        <w:spacing w:after="120"/>
      </w:pPr>
      <w:r>
        <w:rPr>
          <w:b/>
        </w:rPr>
        <w:t xml:space="preserve">Critical methodological warning, and you must reproduce this reasoning in your report:</w:t>
      </w:r>
      <w:r>
        <w:t xml:space="preserve"> these accuracy figures are </w:t>
      </w:r>
      <w:r>
        <w:rPr>
          <w:b/>
        </w:rPr>
        <w:t xml:space="preserve">largely self-reported on custom, non-standardised datasets, so cross-paper comparison is unreliable.</w:t>
      </w:r>
      <w:r>
        <w:t xml:space="preserve"> The 87.2% Indian-plate figure is probably a </w:t>
      </w:r>
      <w:r>
        <w:rPr>
          <w:i/>
        </w:rPr>
        <w:t xml:space="preserve">harder benchmark</w:t>
      </w:r>
      <w:r>
        <w:t xml:space="preserve">, not worse engineering. Plate recognition is irreducibly region-specific — performance depends on country-specific plate design, colour, language, and texture. Applying general models to region-specific plates remains open.</w:t>
      </w:r>
    </w:p>
    <w:p>
      <w:pPr>
        <w:spacing w:after="120"/>
      </w:pPr>
      <w:r>
        <w:rPr>
          <w:b/>
        </w:rPr>
        <w:t xml:space="preserve">CCPD (Chinese City Parking Dataset, 250k images) is the closest thing to a common benchmark.</w:t>
      </w:r>
      <w:r>
        <w:t xml:space="preserve"> If you want a number that is comparable to anything, report on CCPD. Your EasyOCR choice is well-supported by the Egyptian YOLOv8+EasyOCR precedent.</w:t>
      </w:r>
    </w:p>
    <w:p>
      <w:pPr>
        <w:spacing w:after="120"/>
      </w:pPr>
      <w:r>
        <w:t xml:space="preserve">Treat any figure above ~99% as a red flag for test-set leakage or a trivially easy split — including the 99.88% MSAC-SOA claim in §2.1. Saying so in your report demonstrates exactly the critical reading examiners look for.</w:t>
      </w:r>
    </w:p>
    <w:p>
      <w:pPr>
        <w:pStyle w:val="Heading3"/>
        <w:spacing w:after="120"/>
      </w:pPr>
      <w:r>
        <w:t xml:space="preserve">2.5 Tracking, and why you may need it</w:t>
      </w:r>
    </w:p>
    <w:p>
      <w:pPr>
        <w:spacing w:after="120"/>
      </w:pPr>
      <w:r>
        <w:t xml:space="preserve">Your pipeline has no tracker. Both 2025 YOLOv8+DeepSORT papers flag the same weakness: </w:t>
      </w:r>
      <w:r>
        <w:rPr>
          <w:b/>
        </w:rPr>
        <w:t xml:space="preserve">occlusion and ID switches</w:t>
      </w:r>
      <w:r>
        <w:t xml:space="preserve">, with cars showing better associative stability (AssA) than motorbikes, and larger models improving </w:t>
      </w:r>
      <w:r>
        <w:rPr>
          <w:i/>
        </w:rPr>
        <w:t xml:space="preserve">recall</w:t>
      </w:r>
      <w:r>
        <w:t xml:space="preserve"> without fixing </w:t>
      </w:r>
      <w:r>
        <w:rPr>
          <w:i/>
        </w:rPr>
        <w:t xml:space="preserve">identity retention</w:t>
      </w:r>
      <w:r>
        <w:t xml:space="preserve">. ⚠(</w:t>
      </w:r>
      <w:hyperlink r:id="rId116">
        <w:r>
          <w:rPr>
            <w:u w:val="single"/>
            <w:color w:val="0B5CAB"/>
          </w:rPr>
          <w:t xml:space="preserve">IJACSA HOTA/CLEAR evaluation</w:t>
        </w:r>
      </w:hyperlink>
      <w:r>
        <w:t xml:space="preserve">, </w:t>
      </w:r>
      <w:hyperlink r:id="rId117">
        <w:r>
          <w:rPr>
            <w:u w:val="single"/>
            <w:color w:val="0B5CAB"/>
          </w:rPr>
          <w:t xml:space="preserve">ACM CA-BiFPN</w:t>
        </w:r>
      </w:hyperlink>
      <w:r>
        <w:t xml:space="preserve">)</w:t>
      </w:r>
    </w:p>
    <w:p>
      <w:pPr>
        <w:spacing w:after="120"/>
      </w:pPr>
      <w:r>
        <w:t xml:space="preserve">For a </w:t>
      </w:r>
      <w:r>
        <w:rPr>
          <w:b/>
        </w:rPr>
        <w:t xml:space="preserve">single-camera, fixed-view car park</w:t>
      </w:r>
      <w:r>
        <w:t xml:space="preserve">, per-frame detection plus your existing per-track result caching is defensible — say so and cite the ID-switch literature as the reason you avoided the added failure mode. For </w:t>
      </w:r>
      <w:r>
        <w:rPr>
          <w:b/>
        </w:rPr>
        <w:t xml:space="preserve">cross-camera pursuit</w:t>
      </w:r>
      <w:r>
        <w:t xml:space="preserve">, a dropped ID at handoff means a lost target, and you would need vehicle re-ID. Scope this out explicitly as future work; do not half-build it.</w:t>
      </w:r>
    </w:p>
    <w:p>
      <w:pPr>
        <w:spacing w:after="120"/>
      </w:pPr>
      <w:r>
        <w:t xml:space="preserve">Note also: your loitering rule (</w:t>
      </w:r>
      <w:r>
        <w:rPr>
          <w:rFonts w:ascii="Consolas" w:hAnsi="Consolas"/>
          <w:color w:val="333333"/>
          <w:sz w:val="19"/>
        </w:rPr>
        <w:t xml:space="preserve">LOITER_SECONDS</w:t>
      </w:r>
      <w:r>
        <w:t xml:space="preserve">) </w:t>
      </w:r>
      <w:r>
        <w:rPr>
          <w:i/>
        </w:rPr>
        <w:t xml:space="preserve">is</w:t>
      </w:r>
      <w:r>
        <w:t xml:space="preserve"> a temporal feature, and temporal features imply identity persistence across frames. Be precise in the report about how you maintain that association without a full tracker — an examiner will probe exactly there.</w:t>
      </w:r>
    </w:p>
    <w:p>
      <w:pPr>
        <w:pStyle w:val="Heading3"/>
        <w:spacing w:after="120"/>
      </w:pPr>
      <w:r>
        <w:t xml:space="preserve">2.6 Anomaly detection — the road you did not take</w:t>
      </w:r>
    </w:p>
    <w:p>
      <w:pPr>
        <w:spacing w:after="120"/>
      </w:pPr>
      <w:r>
        <w:rPr>
          <w:b/>
        </w:rPr>
        <w:t xml:space="preserve">UCF-Crime</w:t>
      </w:r>
      <w:r>
        <w:t xml:space="preserve"> (Sultani et al.) is the standard benchmark: 1,900 untrimmed CCTV videos, 128 hours, 13 anomaly classes — </w:t>
      </w:r>
      <w:r>
        <w:rPr>
          <w:b/>
        </w:rPr>
        <w:t xml:space="preserve">including "Stealing" and "Burglary."</w:t>
      </w:r>
      <w:r>
        <w:t xml:space="preserve"> Split: 1,610 training videos with video-level labels, 290 test with frame-level. Metric: frame-level AUC.</w:t>
      </w:r>
    </w:p>
    <w:p>
      <w:pPr>
        <w:spacing w:after="120"/>
      </w:pPr>
      <w:r>
        <w:t xml:space="preserve">Benchmark progression: Sultani (I3D RGB) 76.92 → Zhong (C3D) 81.08 → Wu 82.44 → MIST 82.30 → CLAWS 83.03 → BN-SVP 83.39 → MSLNet 85.30, with RTFM pushing further. </w:t>
      </w:r>
      <w:r>
        <w:rPr>
          <w:b/>
        </w:rPr>
        <w:t xml:space="preserve">UCF Crime2Local</w:t>
      </w:r>
      <w:r>
        <w:t xml:space="preserve"> adds spatiotemporal annotation to 300 videos. ⚠(</w:t>
      </w:r>
      <w:hyperlink r:id="rId118">
        <w:r>
          <w:rPr>
            <w:u w:val="single"/>
            <w:color w:val="0B5CAB"/>
          </w:rPr>
          <w:t xml:space="preserve">RTFM arXiv 2101.10030</w:t>
        </w:r>
      </w:hyperlink>
      <w:r>
        <w:t xml:space="preserve">, </w:t>
      </w:r>
      <w:hyperlink r:id="rId119">
        <w:r>
          <w:rPr>
            <w:u w:val="single"/>
            <w:color w:val="0B5CAB"/>
          </w:rPr>
          <w:t xml:space="preserve">UCF-Crime overview</w:t>
        </w:r>
      </w:hyperlink>
      <w:r>
        <w:t xml:space="preserve">)</w:t>
      </w:r>
    </w:p>
    <w:p>
      <w:pPr>
        <w:spacing w:after="120"/>
      </w:pPr>
      <w:r>
        <w:rPr>
          <w:b/>
        </w:rPr>
        <w:t xml:space="preserve">Note the ceiling: ~85% AUC after years of work by specialist groups.</w:t>
      </w:r>
      <w:r>
        <w:t xml:space="preserve"> Compare that to the 98–99% claims in §2.1 and §2.4. This is the clearest possible evidence that those numbers reflect easy custom datasets, not superior methods. </w:t>
      </w:r>
      <w:r>
        <w:rPr>
          <w:b/>
        </w:rPr>
        <w:t xml:space="preserve">Use this contrast in your report</w:t>
      </w:r>
      <w:r>
        <w:t xml:space="preserve"> — it is a genuinely sophisticated observation and costs you nothing.</w:t>
      </w:r>
    </w:p>
    <w:p>
      <w:pPr>
        <w:spacing w:after="120"/>
      </w:pPr>
      <w:r>
        <w:t xml:space="preserve">Your framework is </w:t>
      </w:r>
      <w:r>
        <w:rPr>
          <w:b/>
        </w:rPr>
        <w:t xml:space="preserve">rule-based over object detections</w:t>
      </w:r>
      <w:r>
        <w:t xml:space="preserve">, not learned anomaly detection. That is a legitimate choice for an undergraduate project: interpretable, debuggable, no large-scale video training, and every alert has a stated cause. Weakly-supervised VAD is the alternative paradigm — </w:t>
      </w:r>
      <w:r>
        <w:rPr>
          <w:b/>
        </w:rPr>
        <w:t xml:space="preserve">discuss it in related work, cite the AUC ceiling, and state why interpretability suited your deployment context.</w:t>
      </w:r>
      <w:r>
        <w:t xml:space="preserve"> Do not pretend you did it.</w:t>
      </w:r>
    </w:p>
    <w:p>
      <w:pPr>
        <w:spacing w:after="200"/>
      </w:pPr>
    </w:p>
    <w:p>
      <w:pPr>
        <w:pStyle w:val="Heading2"/>
        <w:spacing w:after="120"/>
      </w:pPr>
      <w:r>
        <w:t xml:space="preserve">3. Reality check on your implementation</w:t>
      </w:r>
    </w:p>
    <w:p>
      <w:pPr>
        <w:spacing w:after="120"/>
      </w:pPr>
      <w:r>
        <w:t xml:space="preserve">Read </w:t>
      </w:r>
      <w:r>
        <w:rPr>
          <w:rFonts w:ascii="Consolas" w:hAnsi="Consolas"/>
          <w:color w:val="333333"/>
          <w:sz w:val="19"/>
        </w:rPr>
        <w:t xml:space="preserve">README.md</w:t>
      </w:r>
      <w:r>
        <w:t xml:space="preserve"> §"Two things to know" — it is already honest, and that honesty is an asset. Reinforcing it:</w:t>
      </w:r>
    </w:p>
    <w:p>
      <w:pPr>
        <w:pStyle w:val="Heading3"/>
        <w:spacing w:after="120"/>
      </w:pPr>
      <w:r>
        <w:t xml:space="preserve">3.1 The 3.1 FPS finding is your best empirical result</w:t>
      </w:r>
    </w:p>
    <w:p>
      <w:pPr>
        <w:spacing w:after="120"/>
      </w:pPr>
      <w:r>
        <w:t xml:space="preserve">Measured: 320 ms/frame, </w:t>
      </w:r>
      <w:r>
        <w:rPr>
          <w:b/>
        </w:rPr>
        <w:t xml:space="preserve">3.1 FPS</w:t>
      </w:r>
      <w:r>
        <w:t xml:space="preserve">, yolov8n @ 640px, CPU. Target was 25–30.</w:t>
      </w:r>
    </w:p>
    <w:p>
      <w:pPr>
        <w:spacing w:after="120"/>
      </w:pPr>
      <w:r>
        <w:rPr>
          <w:b/>
        </w:rPr>
        <w:t xml:space="preserve">This is not a failure. It is a finding, and the literature backs you up: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Platform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Reported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Jetson Nano, YOLOv8n CUDA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163–170 ms ≈ </w:t>
            </w:r>
            <w:r>
              <w:rPr>
                <w:b/>
                <w:sz w:val="18"/>
              </w:rPr>
              <w:t xml:space="preserve">6 FPS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Jetson Nano, general detectors</w:t>
            </w:r>
          </w:p>
        </w:tc>
        <w:tc>
          <w:tcPr/>
          <w:p>
            <w:pPr>
              <w:spacing w:after="40"/>
            </w:pPr>
            <w:r>
              <w:rPr>
                <w:b/>
                <w:sz w:val="18"/>
              </w:rPr>
              <w:t xml:space="preserve">5.2–7.4 FPS</w:t>
            </w:r>
            <w:r>
              <w:rPr>
                <w:sz w:val="18"/>
              </w:rPr>
              <w:t xml:space="preserve"> across power modes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Jetson Nano, YOLOv5s optimised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86.2 ms ≈ </w:t>
            </w:r>
            <w:r>
              <w:rPr>
                <w:b/>
                <w:sz w:val="18"/>
              </w:rPr>
              <w:t xml:space="preserve">9 FPS</w:t>
            </w:r>
            <w:r>
              <w:rPr>
                <w:sz w:val="18"/>
              </w:rPr>
              <w:t xml:space="preserve"> end-to-end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Jetson Nano, YOLOv4-tiny-288 TensorRT FP16</w:t>
            </w:r>
          </w:p>
        </w:tc>
        <w:tc>
          <w:tcPr/>
          <w:p>
            <w:pPr>
              <w:spacing w:after="40"/>
            </w:pPr>
            <w:r>
              <w:rPr>
                <w:b/>
                <w:sz w:val="18"/>
              </w:rPr>
              <w:t xml:space="preserve">only variant meeting 30 FPS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Orin Nano, YOLOv7-seg FP16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42–73 ms ≈ </w:t>
            </w:r>
            <w:r>
              <w:rPr>
                <w:b/>
                <w:sz w:val="18"/>
              </w:rPr>
              <w:t xml:space="preserve">14–24 FPS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AGX Orin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18–35 ms ≈ </w:t>
            </w:r>
            <w:r>
              <w:rPr>
                <w:b/>
                <w:sz w:val="18"/>
              </w:rPr>
              <w:t xml:space="preserve">29–56 FPS</w:t>
            </w:r>
          </w:p>
        </w:tc>
      </w:tr>
    </w:tbl>
    <w:p>
      <w:pPr>
        <w:spacing w:after="0"/>
      </w:pPr>
    </w:p>
    <w:p>
      <w:pPr>
        <w:spacing w:after="120"/>
      </w:pPr>
      <w:r>
        <w:t xml:space="preserve">⚠(</w:t>
      </w:r>
      <w:hyperlink r:id="rId120">
        <w:r>
          <w:rPr>
            <w:u w:val="single"/>
            <w:color w:val="0B5CAB"/>
          </w:rPr>
          <w:t xml:space="preserve">arXiv 2509.13396</w:t>
        </w:r>
      </w:hyperlink>
      <w:r>
        <w:t xml:space="preserve">, </w:t>
      </w:r>
      <w:hyperlink r:id="rId121">
        <w:r>
          <w:rPr>
            <w:u w:val="single"/>
            <w:color w:val="0B5CAB"/>
          </w:rPr>
          <w:t xml:space="preserve">arXiv 2307.16834 Jetson benchmarking</w:t>
        </w:r>
      </w:hyperlink>
      <w:r>
        <w:t xml:space="preserve">, </w:t>
      </w:r>
      <w:hyperlink r:id="rId122">
        <w:r>
          <w:rPr>
            <w:u w:val="single"/>
            <w:color w:val="0B5CAB"/>
          </w:rPr>
          <w:t xml:space="preserve">arXiv 2602.13378 LAF-YOLOv10</w:t>
        </w:r>
      </w:hyperlink>
      <w:r>
        <w:t xml:space="preserve">)</w:t>
      </w:r>
    </w:p>
    <w:p>
      <w:pPr>
        <w:spacing w:after="120"/>
      </w:pPr>
      <w:r>
        <w:rPr>
          <w:b/>
        </w:rPr>
        <w:t xml:space="preserve">The published consensus is: ~5–10 FPS for standard YOLO on original Jetson Nano; only tiny/reduced-resolution models with TensorRT FP16 approach 30 FPS; genuine multi-camera 30 FPS needs Orin-class hardware.</w:t>
      </w:r>
    </w:p>
    <w:p>
      <w:pPr>
        <w:spacing w:after="120"/>
      </w:pPr>
      <w:r>
        <w:t xml:space="preserve">Your 3.1 FPS on CPU sits exactly where theory predicts, </w:t>
      </w:r>
      <w:r>
        <w:rPr>
          <w:i/>
        </w:rPr>
        <w:t xml:space="preserve">below</w:t>
      </w:r>
      <w:r>
        <w:t xml:space="preserve"> the CUDA Jetson figures because you have no GPU at all. </w:t>
      </w:r>
      <w:r>
        <w:rPr>
          <w:b/>
        </w:rPr>
        <w:t xml:space="preserve">You can now write: "the measured throughput is consistent with published Jetson-class benchmarks, and the literature indicates 30 FPS is unattainable for this model class without TensorRT FP16 optimisation and dedicated accelerator hardware."</w:t>
      </w:r>
    </w:p>
    <w:p>
      <w:pPr>
        <w:spacing w:after="120"/>
      </w:pPr>
      <w:r>
        <w:t xml:space="preserve">That is a far stronger report sentence than any unverified 30 FPS claim. It reframes the shortfall as a </w:t>
      </w:r>
      <w:r>
        <w:rPr>
          <w:i/>
        </w:rPr>
        <w:t xml:space="preserve">characterised hardware constraint with citations</w:t>
      </w:r>
      <w:r>
        <w:t xml:space="preserve"> rather than an unmet requirement.</w:t>
      </w:r>
    </w:p>
    <w:p>
      <w:pPr>
        <w:spacing w:after="120"/>
      </w:pPr>
      <w:r>
        <w:t xml:space="preserve">Your </w:t>
      </w:r>
      <w:r>
        <w:rPr>
          <w:rFonts w:ascii="Consolas" w:hAnsi="Consolas"/>
          <w:color w:val="333333"/>
          <w:sz w:val="19"/>
        </w:rPr>
        <w:t xml:space="preserve">DETECT_EVERY_N_FRAMES</w:t>
      </w:r>
      <w:r>
        <w:t xml:space="preserve"> / </w:t>
      </w:r>
      <w:r>
        <w:rPr>
          <w:rFonts w:ascii="Consolas" w:hAnsi="Consolas"/>
          <w:color w:val="333333"/>
          <w:sz w:val="19"/>
        </w:rPr>
        <w:t xml:space="preserve">OCR_EVERY_N_FRAMES</w:t>
      </w:r>
      <w:r>
        <w:t xml:space="preserve"> / </w:t>
      </w:r>
      <w:r>
        <w:rPr>
          <w:rFonts w:ascii="Consolas" w:hAnsi="Consolas"/>
          <w:color w:val="333333"/>
          <w:sz w:val="19"/>
        </w:rPr>
        <w:t xml:space="preserve">FACE_EVERY_N_FRAMES</w:t>
      </w:r>
      <w:r>
        <w:t xml:space="preserve"> mitigations are the standard response (batch size 1 to minimise latency, frame skipping, per-track caching). Document the accuracy cost of each frame-skip setting — that trade-off curve is a publishable figure and you can generate it today with </w:t>
      </w:r>
      <w:r>
        <w:rPr>
          <w:rFonts w:ascii="Consolas" w:hAnsi="Consolas"/>
          <w:color w:val="333333"/>
          <w:sz w:val="19"/>
        </w:rPr>
        <w:t xml:space="preserve">evaluate.py</w:t>
      </w:r>
      <w:r>
        <w:t xml:space="preserve">.</w:t>
      </w:r>
    </w:p>
    <w:p>
      <w:pPr>
        <w:spacing w:after="120"/>
      </w:pPr>
      <w:r>
        <w:rPr>
          <w:b/>
        </w:rPr>
        <w:t xml:space="preserve">Recommended additions, in order of value per hour spent: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TensorRT or ONNX export benchmark — literature says FP16 is the single</w:t>
      </w:r>
    </w:p>
    <w:p>
      <w:pPr>
        <w:spacing w:after="120"/>
      </w:pPr>
      <w:r>
        <w:t xml:space="preserve">biggest win, and it is a one-line Ultralytics export.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Latency breakdown per stage (detect / OCR / face). Identifies the real</w:t>
      </w:r>
    </w:p>
    <w:p>
      <w:pPr>
        <w:spacing w:after="120"/>
      </w:pPr>
      <w:r>
        <w:t xml:space="preserve">bottleneck. Cheap to instrument.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Accuracy-vs-frame-skip curve. Directly justifies your defaults.</w:t>
      </w:r>
    </w:p>
    <w:p>
      <w:pPr>
        <w:pStyle w:val="Heading3"/>
        <w:spacing w:after="120"/>
      </w:pPr>
      <w:r>
        <w:t xml:space="preserve">3.2 The face backend substitution is fine — document it as a constraint</w:t>
      </w:r>
    </w:p>
    <w:p>
      <w:pPr>
        <w:spacing w:after="120"/>
      </w:pPr>
      <w:r>
        <w:t xml:space="preserve">YuNet + SFace instead of DeepFace/FaceNet, because Python 3.14 has no TensorFlow wheels. SFace reports ~99.6% on LFW. Your </w:t>
      </w:r>
      <w:r>
        <w:rPr>
          <w:rFonts w:ascii="Consolas" w:hAnsi="Consolas"/>
          <w:color w:val="333333"/>
          <w:sz w:val="19"/>
        </w:rPr>
        <w:t xml:space="preserve">/api/info</w:t>
      </w:r>
      <w:r>
        <w:t xml:space="preserve"> reporting the active backend so a demo cannot misrepresent results is genuinely good practice — </w:t>
      </w:r>
      <w:r>
        <w:rPr>
          <w:b/>
        </w:rPr>
        <w:t xml:space="preserve">mention that design decision explicitly, it demonstrates research integrity.</w:t>
      </w:r>
    </w:p>
    <w:p>
      <w:pPr>
        <w:pStyle w:val="Heading3"/>
        <w:spacing w:after="120"/>
      </w:pPr>
      <w:r>
        <w:t xml:space="preserve">3.3 The gap nobody has flagged yet: you have no dataset</w:t>
      </w:r>
    </w:p>
    <w:p>
      <w:pPr>
        <w:spacing w:after="120"/>
      </w:pPr>
      <w:r>
        <w:rPr>
          <w:rFonts w:ascii="Consolas" w:hAnsi="Consolas"/>
          <w:color w:val="333333"/>
          <w:sz w:val="19"/>
        </w:rPr>
        <w:t xml:space="preserve">dataset/raw/</w:t>
      </w:r>
      <w:r>
        <w:t xml:space="preserve"> and </w:t>
      </w:r>
      <w:r>
        <w:rPr>
          <w:rFonts w:ascii="Consolas" w:hAnsi="Consolas"/>
          <w:color w:val="333333"/>
          <w:sz w:val="19"/>
        </w:rPr>
        <w:t xml:space="preserve">dataset/annotations/</w:t>
      </w:r>
      <w:r>
        <w:t xml:space="preserve"> are </w:t>
      </w:r>
      <w:r>
        <w:rPr>
          <w:b/>
        </w:rPr>
        <w:t xml:space="preserve">both empty.</w:t>
      </w:r>
      <w:r>
        <w:t xml:space="preserve"> </w:t>
      </w:r>
      <w:r>
        <w:rPr>
          <w:rFonts w:ascii="Consolas" w:hAnsi="Consolas"/>
          <w:color w:val="333333"/>
          <w:sz w:val="19"/>
        </w:rPr>
        <w:t xml:space="preserve">models/license_plate.pt</w:t>
      </w:r>
      <w:r>
        <w:t xml:space="preserve"> does not exist. The system is running on the </w:t>
      </w:r>
      <w:r>
        <w:rPr>
          <w:b/>
        </w:rPr>
        <w:t xml:space="preserve">classical OpenCV edge-density fallback</w:t>
      </w:r>
      <w:r>
        <w:t xml:space="preserve">, not a trained plate detector.</w:t>
      </w:r>
    </w:p>
    <w:p>
      <w:pPr>
        <w:spacing w:after="120"/>
      </w:pPr>
      <w:r>
        <w:rPr>
          <w:b/>
        </w:rPr>
        <w:t xml:space="preserve">This is the largest hole in the project.</w:t>
      </w:r>
      <w:r>
        <w:t xml:space="preserve"> Consequences: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trained plate model means no mAP, precision, or recall for plate</w:t>
      </w:r>
    </w:p>
    <w:p>
      <w:pPr>
        <w:spacing w:after="120"/>
      </w:pPr>
      <w:r>
        <w:t xml:space="preserve">localisation — the numbers a marker will look for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README's "Training &amp; evaluation pipeline: Complete" means the </w:t>
      </w:r>
      <w:r>
        <w:rPr>
          <w:i/>
        </w:rPr>
        <w:t xml:space="preserve">code</w:t>
      </w:r>
      <w:r>
        <w:t xml:space="preserve"> is</w:t>
      </w:r>
    </w:p>
    <w:p>
      <w:pPr>
        <w:spacing w:after="120"/>
      </w:pPr>
      <w:r>
        <w:t xml:space="preserve">complete. </w:t>
      </w:r>
      <w:r>
        <w:rPr>
          <w:b/>
        </w:rPr>
        <w:t xml:space="preserve">Nothing has been trained.</w:t>
      </w:r>
      <w:r>
        <w:t xml:space="preserve"> Ensure your report never implies otherwise; that distinction is exactly what a viva probes.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hAnsi="Consolas"/>
          <w:color w:val="333333"/>
          <w:sz w:val="19"/>
        </w:rPr>
        <w:t xml:space="preserve">evaluate.py</w:t>
      </w:r>
      <w:r>
        <w:t xml:space="preserve"> currently benchmarks </w:t>
      </w:r>
      <w:r>
        <w:rPr>
          <w:rFonts w:ascii="Consolas" w:hAnsi="Consolas"/>
          <w:color w:val="333333"/>
          <w:sz w:val="19"/>
        </w:rPr>
        <w:t xml:space="preserve">yolov8n.pt</w:t>
      </w:r>
      <w:r>
        <w:t xml:space="preserve"> (COCO weights), not a</w:t>
      </w:r>
    </w:p>
    <w:p>
      <w:pPr>
        <w:spacing w:after="120"/>
      </w:pPr>
      <w:r>
        <w:t xml:space="preserve">task-specific model.</w:t>
      </w:r>
    </w:p>
    <w:p>
      <w:pPr>
        <w:spacing w:after="120"/>
      </w:pPr>
      <w:r>
        <w:rPr>
          <w:b/>
        </w:rPr>
        <w:t xml:space="preserve">This is the highest priority remaining work, ahead of everything in §3.1.</w:t>
      </w:r>
      <w:r>
        <w:t xml:space="preserve"> Options, cheapest first: CCPD (250k images, gives comparability), an open Roboflow plate dataset, or hand-annotating a few hundred local images — region-specific per §2.4, and enough for a genuine result.</w:t>
      </w:r>
    </w:p>
    <w:p>
      <w:pPr>
        <w:spacing w:after="120"/>
      </w:pPr>
      <w:r>
        <w:t xml:space="preserve">Without it you have a well-engineered system with no core empirical result. With it, plus the §2.3 detector comparison, you have a complete project.</w:t>
      </w:r>
    </w:p>
    <w:p>
      <w:pPr>
        <w:spacing w:after="200"/>
      </w:pPr>
    </w:p>
    <w:p>
      <w:pPr>
        <w:pStyle w:val="Heading2"/>
        <w:spacing w:after="120"/>
      </w:pPr>
      <w:r>
        <w:t xml:space="preserve">4. Ethics, privacy, and legal framing</w:t>
      </w:r>
    </w:p>
    <w:p>
      <w:pPr>
        <w:spacing w:after="120"/>
      </w:pPr>
      <w:r>
        <w:t xml:space="preserve">Do not treat this as a box-tick. Your README §"Security and ethics" is a good start; the literature gives it teeth.</w:t>
      </w:r>
    </w:p>
    <w:p>
      <w:pPr>
        <w:spacing w:after="120"/>
      </w:pPr>
      <w:r>
        <w:rPr>
          <w:b/>
        </w:rPr>
        <w:t xml:space="preserve">Biometric data is a special category.</w:t>
      </w:r>
      <w:r>
        <w:t xml:space="preserve"> GDPR defines biometric data as personal data from technical processing of physical/physiological/behavioural characteristics, and </w:t>
      </w:r>
      <w:r>
        <w:rPr>
          <w:b/>
        </w:rPr>
        <w:t xml:space="preserve">facial images qualify</w:t>
      </w:r>
      <w:r>
        <w:t xml:space="preserve"> because they identify individuals. Explicit consent is required; individuals have a right to object. Scholars note GDPR provisions on consent and data minimisation </w:t>
      </w:r>
      <w:r>
        <w:rPr>
          <w:b/>
        </w:rPr>
        <w:t xml:space="preserve">may not adequately address meaningful consent in public-space surveillance.</w:t>
      </w:r>
      <w:r>
        <w:t xml:space="preserve"> ⚠(</w:t>
      </w:r>
      <w:hyperlink r:id="rId123">
        <w:r>
          <w:rPr>
            <w:u w:val="single"/>
            <w:color w:val="0B5CAB"/>
          </w:rPr>
          <w:t xml:space="preserve">Springer AFR governance</w:t>
        </w:r>
      </w:hyperlink>
      <w:r>
        <w:t xml:space="preserve">, </w:t>
      </w:r>
      <w:hyperlink r:id="rId124">
        <w:r>
          <w:rPr>
            <w:u w:val="single"/>
            <w:color w:val="0B5CAB"/>
          </w:rPr>
          <w:t xml:space="preserve">Frontiers privacy/ethics</w:t>
        </w:r>
      </w:hyperlink>
      <w:r>
        <w:t xml:space="preserve">)</w:t>
      </w:r>
    </w:p>
    <w:p>
      <w:pPr>
        <w:spacing w:after="120"/>
      </w:pPr>
      <w:r>
        <w:rPr>
          <w:b/>
        </w:rPr>
        <w:t xml:space="preserve">Case law:</w:t>
      </w:r>
      <w:r>
        <w:t xml:space="preserve"> </w:t>
      </w:r>
      <w:r>
        <w:rPr>
          <w:i/>
        </w:rPr>
        <w:t xml:space="preserve">Peck v. United Kingdom</w:t>
      </w:r>
      <w:r>
        <w:t xml:space="preserve"> (ECtHR) held that video surveillance of public places where data is recorded, stored, and disclosed falls within Article 8. Courts increasingly limit AFR surveillance.</w:t>
      </w:r>
    </w:p>
    <w:p>
      <w:pPr>
        <w:spacing w:after="120"/>
      </w:pPr>
      <w:r>
        <w:rPr>
          <w:b/>
        </w:rPr>
        <w:t xml:space="preserve">Regulatory:</w:t>
      </w:r>
      <w:r>
        <w:t xml:space="preserve"> Oregon and New Hampshire banned FR in police body cameras; some jurisdictions bar shops, gyms, and public transport from FR in video surveillance with GDPR-scale fines. </w:t>
      </w:r>
      <w:r>
        <w:rPr>
          <w:b/>
        </w:rPr>
        <w:t xml:space="preserve">Follow up: EU AI Act Article 5 prohibitions on real-time remote biometric identification, and EDPB Guidelines 3/2019 on video devices</w:t>
      </w:r>
      <w:r>
        <w:t xml:space="preserve"> — both directly govern a system like yours and neither is verified here.</w:t>
      </w:r>
    </w:p>
    <w:p>
      <w:pPr>
        <w:spacing w:after="120"/>
      </w:pPr>
      <w:r>
        <w:rPr>
          <w:b/>
        </w:rPr>
        <w:t xml:space="preserve">Mandate creep</w:t>
      </w:r>
      <w:r>
        <w:t xml:space="preserve"> is the risk to name. The </w:t>
      </w:r>
      <w:r>
        <w:rPr>
          <w:i/>
        </w:rPr>
        <w:t xml:space="preserve">Amadeus</w:t>
      </w:r>
      <w:r>
        <w:t xml:space="preserve"> paper frames it precisely: a stream processed by multiple parties, each with its own mandate, where </w:t>
      </w:r>
      <w:r>
        <w:rPr>
          <w:b/>
        </w:rPr>
        <w:t xml:space="preserve">a consumer may exceed their mandate by performing facial recognition without the administrator's knowledge.</w:t>
      </w:r>
      <w:r>
        <w:t xml:space="preserve"> ⚠(</w:t>
      </w:r>
      <w:hyperlink r:id="rId125">
        <w:r>
          <w:rPr>
            <w:u w:val="single"/>
            <w:color w:val="0B5CAB"/>
          </w:rPr>
          <w:t xml:space="preserve">arXiv 2011.05163</w:t>
        </w:r>
      </w:hyperlink>
      <w:r>
        <w:t xml:space="preserve">) Your system stores face embeddings and captures photographs of unregistered people — exactly the capability that invites creep.</w:t>
      </w:r>
    </w:p>
    <w:p>
      <w:pPr>
        <w:spacing w:after="120"/>
      </w:pPr>
      <w:r>
        <w:rPr>
          <w:b/>
        </w:rPr>
        <w:t xml:space="preserve">A useful precedent for how to write your ethics statement:</w:t>
      </w:r>
      <w:r>
        <w:t xml:space="preserve"> the </w:t>
      </w:r>
      <w:r>
        <w:rPr>
          <w:i/>
        </w:rPr>
        <w:t xml:space="preserve">uxSense</w:t>
      </w:r>
      <w:r>
        <w:t xml:space="preserve"> authors openly address dual-use by stating their prototype </w:t>
      </w:r>
      <w:r>
        <w:rPr>
          <w:i/>
        </w:rPr>
        <w:t xml:space="preserve">omits</w:t>
      </w:r>
      <w:r>
        <w:t xml:space="preserve"> facial recognition while acknowledging its field utility. You cannot omit it, so instead: state the capability, state the safeguard, state the residual risk.</w:t>
      </w:r>
    </w:p>
    <w:p>
      <w:pPr>
        <w:spacing w:after="120"/>
      </w:pPr>
      <w:r>
        <w:rPr>
          <w:b/>
        </w:rPr>
        <w:t xml:space="preserve">Concrete actions before submission: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Institutional ethics approval — likely required, check early, it has lead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stated retention period, implemented, not just described.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</w:t>
      </w:r>
      <w:r>
        <w:rPr>
          <w:rFonts w:ascii="Consolas" w:hAnsi="Consolas"/>
          <w:color w:val="333333"/>
          <w:sz w:val="19"/>
        </w:rPr>
        <w:t xml:space="preserve">/media</w:t>
      </w:r>
      <w:r>
        <w:t xml:space="preserve"> being unauthenticated. It serves identifiable faces and plates.</w:t>
      </w:r>
    </w:p>
    <w:p>
      <w:pPr>
        <w:spacing w:after="120"/>
      </w:pPr>
      <w:r>
        <w:t xml:space="preserve">Your README already flags this; </w:t>
      </w:r>
      <w:r>
        <w:rPr>
          <w:b/>
        </w:rPr>
        <w:t xml:space="preserve">an examiner reading that will ask why it is still open.</w:t>
      </w:r>
      <w:r>
        <w:t xml:space="preserve"> Fix it or justify it as scoped-out with a documented risk.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the MJPEG query-string token as a known, reasoned trade-off. You</w:t>
      </w:r>
    </w:p>
    <w:p>
      <w:pPr>
        <w:spacing w:after="120"/>
      </w:pPr>
      <w:r>
        <w:t xml:space="preserve">already do — keep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Mitigations worth citing as future work: homomorphic encryption, secure</w:t>
      </w:r>
    </w:p>
    <w:p>
      <w:pPr>
        <w:spacing w:after="120"/>
      </w:pPr>
      <w:r>
        <w:t xml:space="preserve">multiparty computation, synthetic training data, privacy gain / attribute suppression rate as metrics. ⚠(</w:t>
      </w:r>
      <w:hyperlink r:id="rId126">
        <w:r>
          <w:rPr>
            <w:u w:val="single"/>
            <w:color w:val="0B5CAB"/>
          </w:rPr>
          <w:t xml:space="preserve">ACM PPFR survey</w:t>
        </w:r>
      </w:hyperlink>
      <w:r>
        <w:t xml:space="preserve">, </w:t>
      </w:r>
      <w:hyperlink r:id="rId127">
        <w:r>
          <w:rPr>
            <w:u w:val="single"/>
            <w:color w:val="0B5CAB"/>
          </w:rPr>
          <w:t xml:space="preserve">Springer privacy survey</w:t>
        </w:r>
      </w:hyperlink>
      <w:r>
        <w:t xml:space="preserve">)</w:t>
      </w:r>
    </w:p>
    <w:p>
      <w:pPr>
        <w:spacing w:after="200"/>
      </w:pPr>
    </w:p>
    <w:p>
      <w:pPr>
        <w:pStyle w:val="Heading2"/>
        <w:spacing w:after="120"/>
      </w:pPr>
      <w:r>
        <w:t xml:space="preserve">5. Suggested report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Introduction</w:t>
      </w:r>
      <w:r>
        <w:t xml:space="preserve"> — burden (§1.1a), prevention-vs-detection (§1.1b),</w:t>
      </w:r>
    </w:p>
    <w:p>
      <w:pPr>
        <w:spacing w:after="120"/>
      </w:pPr>
      <w:r>
        <w:rPr>
          <w:b/>
        </w:rPr>
        <w:t xml:space="preserve">recovery time-criticality as the core argument (§1.1c)</w:t>
      </w:r>
      <w:r>
        <w:t xml:space="preserve">. Aims, objectives,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Literature review</w:t>
      </w:r>
      <w:r>
        <w:t xml:space="preserve"> — CCTV evidence and the false-alarm/desensitisation</w:t>
      </w:r>
    </w:p>
    <w:p>
      <w:pPr>
        <w:spacing w:after="120"/>
      </w:pPr>
      <w:r>
        <w:t xml:space="preserve">failure mode (§1.2); comparable systems (§2.1); YOLO evolution (§2.3); ANPR and its benchmarking problem (§2.4); tracking and ID switches (§2.5); weakly-supervised VAD and its ~85% AUC ceiling as contrast (§2.6). Close with the gap statement (§2.2).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Methodology</w:t>
      </w:r>
      <w:r>
        <w:t xml:space="preserve"> — architecture (README §Architecture), threat scoring as</w:t>
      </w:r>
    </w:p>
    <w:p>
      <w:pPr>
        <w:spacing w:after="120"/>
      </w:pPr>
      <w:r>
        <w:t xml:space="preserve">false-alarm mitigation, dataset preparation, training protocol, metrics (mAP@.5, mAP@[.5:.95], precision, recall, latency, FPS).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Implementation</w:t>
      </w:r>
      <w:r>
        <w:t xml:space="preserve"> — modules, the layered import discipline, the face-backend</w:t>
      </w:r>
    </w:p>
    <w:p>
      <w:pPr>
        <w:spacing w:after="120"/>
      </w:pPr>
      <w:r>
        <w:t xml:space="preserve">substitution as a documented constraint (§3.2).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Results</w:t>
      </w:r>
      <w:r>
        <w:t xml:space="preserve"> — plate detector metrics (</w:t>
      </w:r>
      <w:r>
        <w:rPr>
          <w:b/>
        </w:rPr>
        <w:t xml:space="preserve">§3.3 — must be generated</w:t>
      </w:r>
      <w:r>
        <w:t xml:space="preserve">), detector</w:t>
      </w:r>
    </w:p>
    <w:p>
      <w:pPr>
        <w:spacing w:after="120"/>
      </w:pPr>
      <w:r>
        <w:t xml:space="preserve">comparison (§2.3 option 2), latency breakdown and FPS against published Jetson figures (§3.1), threat-score behaviour, the 79 passing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Discussion</w:t>
      </w:r>
      <w:r>
        <w:t xml:space="preserve"> — accuracy/latency trade-off, why 3.1 FPS is consistent with</w:t>
      </w:r>
    </w:p>
    <w:p>
      <w:pPr>
        <w:spacing w:after="120"/>
      </w:pPr>
      <w:r>
        <w:t xml:space="preserve">the literature, false-alarm suppression as the contribution, limitations.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Ethics</w:t>
      </w:r>
      <w:r>
        <w:t xml:space="preserve"> — §4, as a full chapter, not an appendix.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Conclusion &amp; future work</w:t>
      </w:r>
      <w:r>
        <w:t xml:space="preserve"> — TensorRT/edge deployment, DeepSORT for</w:t>
      </w:r>
    </w:p>
    <w:p>
      <w:pPr>
        <w:spacing w:after="120"/>
      </w:pPr>
      <w:r>
        <w:t xml:space="preserve">cross-camera re-ID, learned anomaly detection, privacy-preserving embeddings.</w:t>
      </w:r>
    </w:p>
    <w:p>
      <w:pPr>
        <w:spacing w:after="200"/>
      </w:pPr>
    </w:p>
    <w:p>
      <w:pPr>
        <w:pStyle w:val="Heading2"/>
        <w:spacing w:after="120"/>
      </w:pPr>
      <w:r>
        <w:t xml:space="preserve">6. Priority actions</w:t>
      </w:r>
    </w:p>
    <w:tbl>
      <w:tblPr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Action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Why</w:t>
            </w:r>
          </w:p>
        </w:tc>
        <w:tc>
          <w:tcPr>
            <w:shd w:val="clear" w:fill="EDEDED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Effort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spacing w:after="40"/>
            </w:pPr>
            <w:r>
              <w:rPr>
                <w:b/>
                <w:sz w:val="18"/>
              </w:rPr>
              <w:t xml:space="preserve">Acquire/annotate a plate dataset and train `license_plate.pt`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No core empirical result without it (§3.3)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Verify every ⚠ citation; find the Campbell CCTV car-park review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Unread citations are the fastest way to fail a viva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Medium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Benchmark v8n vs v11n vs v12n on your data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Turns an outdated-backbone weakness into a contribution (§2.3)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Low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Latency breakdown per stage + TensorRT/ONNX export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Strongest §3.1 additions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Low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Accuracy-vs-frame-skip curve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Justifies your defaults empirically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Low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Start institutional ethics approval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Lead time; may block submission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Low but urgent</w:t>
            </w:r>
          </w:p>
        </w:tc>
      </w:tr>
      <w:tr>
        <w:tc>
          <w:tcPr/>
          <w:p>
            <w:pPr>
              <w:spacing w:after="40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Authenticate </w:t>
            </w:r>
            <w:r>
              <w:rPr>
                <w:rFonts w:ascii="Consolas" w:hAnsi="Consolas"/>
                <w:color w:val="333333"/>
                <w:sz w:val="18"/>
              </w:rPr>
              <w:t xml:space="preserve">/media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Known flaw, already documented, will be asked about</w:t>
            </w:r>
          </w:p>
        </w:tc>
        <w:tc>
          <w:tcPr/>
          <w:p>
            <w:pPr>
              <w:spacing w:after="40"/>
            </w:pPr>
            <w:r>
              <w:rPr>
                <w:sz w:val="18"/>
              </w:rPr>
              <w:t xml:space="preserve">Low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</w:rPr>
        <w:t xml:space="preserve">The pattern to notice:</w:t>
      </w:r>
      <w:r>
        <w:t xml:space="preserve"> items 3–5 are all low-effort and high-value because </w:t>
      </w:r>
      <w:r>
        <w:rPr>
          <w:rFonts w:ascii="Consolas" w:hAnsi="Consolas"/>
          <w:color w:val="333333"/>
          <w:sz w:val="19"/>
        </w:rPr>
        <w:t xml:space="preserve">training/evaluate.py</w:t>
      </w:r>
      <w:r>
        <w:t xml:space="preserve"> already exists. Item 1 is the only expensive one, and it is also the only one you cannot submit without.</w:t>
      </w:r>
    </w:p>
    <w:p>
      <w:pPr>
        <w:spacing w:after="200"/>
      </w:pPr>
    </w:p>
    <w:p>
      <w:pPr>
        <w:pStyle w:val="Heading2"/>
        <w:spacing w:after="120"/>
      </w:pPr>
      <w:r>
        <w:t xml:space="preserve">7. Citation integrity — read this before writing</w:t>
      </w:r>
    </w:p>
    <w:p>
      <w:pPr>
        <w:spacing w:after="120"/>
      </w:pPr>
      <w:r>
        <w:t xml:space="preserve">Everything marked ⚠ came from </w:t>
      </w:r>
      <w:r>
        <w:rPr>
          <w:b/>
        </w:rPr>
        <w:t xml:space="preserve">search-result summaries, not from reading the papers.</w:t>
      </w:r>
      <w:r>
        <w:t xml:space="preserve"> Snippets misattribute numbers, conflate a paper's claims with its related-work section, and occasionally cite work that does not exist.</w:t>
      </w:r>
    </w:p>
    <w:p>
      <w:pPr>
        <w:spacing w:after="120"/>
      </w:pPr>
      <w:r>
        <w:t xml:space="preserve">Specific cautions: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MSAC-SOA 99.88% and the YOLOv7+DeepSORT stolen-vehicle system were found</w:t>
      </w:r>
    </w:p>
    <w:p>
      <w:pPr>
        <w:spacing w:after="120"/>
      </w:pPr>
      <w:r>
        <w:rPr>
          <w:b/>
        </w:rPr>
        <w:t xml:space="preserve">cited inside another paper's related-work section.</w:t>
      </w:r>
      <w:r>
        <w:t xml:space="preserve"> Trace them to their originals; do not cite second-hand.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Campbell Collaboration CCTV review is **the most valuable citation for</w:t>
      </w:r>
    </w:p>
    <w:p>
      <w:pPr>
        <w:spacing w:after="120"/>
      </w:pPr>
      <w:r>
        <w:t xml:space="preserve">your introduction and is unverified.** Find it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URLs above have future-looking arXiv identifiers. **Confirm each resolves</w:t>
      </w:r>
    </w:p>
    <w:p>
      <w:pPr>
        <w:spacing w:after="120"/>
      </w:pPr>
      <w:r>
        <w:t xml:space="preserve">to a real paper** before citing.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EU AI Act Art. 5 and EDPB Guidelines 3/2019 are named from a search</w:t>
      </w:r>
    </w:p>
    <w:p>
      <w:pPr>
        <w:spacing w:after="120"/>
      </w:pPr>
      <w:r>
        <w:t xml:space="preserve">suggestion, not verified. Read the primary instruments.</w:t>
      </w:r>
    </w:p>
    <w:p>
      <w:pPr>
        <w:spacing w:after="120"/>
      </w:pPr>
      <w:r>
        <w:t xml:space="preserve">For each reference: open it, confirm the number, confirm it says what you think, record the full citation. Where a figure is self-reported on a custom dataset — which per §2.4 is most of them — </w:t>
      </w:r>
      <w:r>
        <w:rPr>
          <w:b/>
        </w:rPr>
        <w:t xml:space="preserve">say so.</w:t>
      </w:r>
      <w:r>
        <w:t xml:space="preserve"> Noting that comparison across these papers is unreliable is not a weakness in your review; it is the single clearest signal of critical reading you can give a marker, and §2.6's ~85% AUC ceiling gives you the evidence to back it up.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480" w:hanging="240"/>
      </w:pPr>
      <w:rPr>
        <w:rFonts w:ascii="Symbol" w:hAnsi="Symbol"/>
      </w:rPr>
    </w:lvl>
  </w:abstractNum>
  <w:abstractNum w:abstractNumId="2">
    <w:lvl w:ilvl="0">
      <w:start w:val="1"/>
      <w:numFmt w:val="decimal"/>
      <w:lvlText w:val="%1."/>
      <w:pPr>
        <w:ind w:left="480" w:hanging="24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ListParagraph">
    <w:name w:val="List Paragraph"/>
    <w:basedOn w:val="Normal"/>
  </w:style>
  <w:style w:type="paragraph" w:styleId="Heading1">
    <w:name w:val="heading 1"/>
    <w:basedOn w:val="Normal"/>
    <w:pPr>
      <w:keepNext/>
      <w:outlineLvl w:val="0"/>
      <w:spacing w:before="240" w:after="120"/>
    </w:pPr>
    <w:rPr>
      <w:rFonts w:ascii="Calibri Light" w:hAnsi="Calibri Light"/>
      <w:b/>
      <w:sz w:val="36"/>
      <w:color w:val="1F3864"/>
    </w:rPr>
  </w:style>
  <w:style w:type="paragraph" w:styleId="Heading2">
    <w:name w:val="heading 2"/>
    <w:basedOn w:val="Normal"/>
    <w:pPr>
      <w:keepNext/>
      <w:outlineLvl w:val="1"/>
      <w:spacing w:before="240" w:after="120"/>
    </w:pPr>
    <w:rPr>
      <w:rFonts w:ascii="Calibri Light" w:hAnsi="Calibri Light"/>
      <w:b/>
      <w:sz w:val="30"/>
      <w:color w:val="2E5496"/>
    </w:rPr>
  </w:style>
  <w:style w:type="paragraph" w:styleId="Heading3">
    <w:name w:val="heading 3"/>
    <w:basedOn w:val="Normal"/>
    <w:pPr>
      <w:keepNext/>
      <w:outlineLvl w:val="2"/>
      <w:spacing w:before="200" w:after="120"/>
    </w:pPr>
    <w:rPr>
      <w:rFonts w:ascii="Calibri Light" w:hAnsi="Calibri Light"/>
      <w:b/>
      <w:sz w:val="25"/>
      <w:color w:val="2E5496"/>
    </w:rPr>
  </w:style>
  <w:style w:type="paragraph" w:styleId="Heading4">
    <w:name w:val="heading 4"/>
    <w:basedOn w:val="Normal"/>
    <w:pPr>
      <w:keepNext/>
      <w:outlineLvl w:val="3"/>
      <w:spacing w:before="180" w:after="120"/>
    </w:pPr>
    <w:rPr>
      <w:rFonts w:ascii="Calibri Light" w:hAnsi="Calibri Light"/>
      <w:b/>
      <w:sz w:val="23"/>
      <w:color w:val="40404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0" Type="http://schemas.openxmlformats.org/officeDocument/2006/relationships/hyperlink" Target="https://www.nicb.org/news/news-releases/us-vehicle-thefts-experience-historic-decline" TargetMode="External"/><Relationship Id="rId101" Type="http://schemas.openxmlformats.org/officeDocument/2006/relationships/hyperlink" Target="https://www.nicb.org/news/news-releases/nationwide-decline-vehicle-thefts-continues-through-first-half-2025" TargetMode="External"/><Relationship Id="rId102" Type="http://schemas.openxmlformats.org/officeDocument/2006/relationships/hyperlink" Target="https://www.nicb.org/news/news-releases/recreational-vehicle-thefts-declined-2025-most-remain-unrecovered-recreational" TargetMode="External"/><Relationship Id="rId103" Type="http://schemas.openxmlformats.org/officeDocument/2006/relationships/hyperlink" Target="https://www.tandfonline.com/doi/full/10.1080/24751979.2025.2474706" TargetMode="External"/><Relationship Id="rId104" Type="http://schemas.openxmlformats.org/officeDocument/2006/relationships/hyperlink" Target="https://eyeqmonitoring.com/2025/08/the-real-impact-of-cctv-technology-advancements-on-dealership-theft-prevention/" TargetMode="External"/><Relationship Id="rId105" Type="http://schemas.openxmlformats.org/officeDocument/2006/relationships/hyperlink" Target="https://www.sciencedirect.com/science/article/pii/S2307187725010375" TargetMode="External"/><Relationship Id="rId106" Type="http://schemas.openxmlformats.org/officeDocument/2006/relationships/hyperlink" Target="https://link.springer.com/article/10.1007/s10462-025-11480-8" TargetMode="External"/><Relationship Id="rId107" Type="http://schemas.openxmlformats.org/officeDocument/2006/relationships/hyperlink" Target="https://link.springer.com/content/pdf/10.1007/978-3-031-23724-9_30" TargetMode="External"/><Relationship Id="rId108" Type="http://schemas.openxmlformats.org/officeDocument/2006/relationships/hyperlink" Target="https://www.iieta.org/journals/isi/paper/10.18280/isi.300610" TargetMode="External"/><Relationship Id="rId109" Type="http://schemas.openxmlformats.org/officeDocument/2006/relationships/hyperlink" Target="https://arxiv.org/pdf/2410.22898" TargetMode="External"/><Relationship Id="rId110" Type="http://schemas.openxmlformats.org/officeDocument/2006/relationships/hyperlink" Target="https://arxiv.org/html/2411.00201v2" TargetMode="External"/><Relationship Id="rId111" Type="http://schemas.openxmlformats.org/officeDocument/2006/relationships/hyperlink" Target="https://www.mdpi.com/2504-4990/8/7/204" TargetMode="External"/><Relationship Id="rId112" Type="http://schemas.openxmlformats.org/officeDocument/2006/relationships/hyperlink" Target="https://www.sciencedirect.com/science/article/abs/pii/S0045790624005731" TargetMode="External"/><Relationship Id="rId113" Type="http://schemas.openxmlformats.org/officeDocument/2006/relationships/hyperlink" Target="https://jesit.springeropen.com/articles/10.1186/s43067-024-00156-y" TargetMode="External"/><Relationship Id="rId114" Type="http://schemas.openxmlformats.org/officeDocument/2006/relationships/hyperlink" Target="https://etasr.com/index.php/ETASR/article/view/9983" TargetMode="External"/><Relationship Id="rId115" Type="http://schemas.openxmlformats.org/officeDocument/2006/relationships/hyperlink" Target="https://www.nature.com/articles/s41598-025-24967-9" TargetMode="External"/><Relationship Id="rId116" Type="http://schemas.openxmlformats.org/officeDocument/2006/relationships/hyperlink" Target="https://thesai.org/Publications/ViewPaper?Volume=16&amp;Issue=9&amp;Code=IJACSA&amp;SerialNo=40" TargetMode="External"/><Relationship Id="rId117" Type="http://schemas.openxmlformats.org/officeDocument/2006/relationships/hyperlink" Target="https://dl.acm.org/doi/10.1145/3783779.3783831" TargetMode="External"/><Relationship Id="rId118" Type="http://schemas.openxmlformats.org/officeDocument/2006/relationships/hyperlink" Target="https://arxiv.org/pdf/2101.10030" TargetMode="External"/><Relationship Id="rId119" Type="http://schemas.openxmlformats.org/officeDocument/2006/relationships/hyperlink" Target="https://deepwiki.com/wbfwonderful/Fed-WSVAD/3.1-ucf-crime-dataset" TargetMode="External"/><Relationship Id="rId120" Type="http://schemas.openxmlformats.org/officeDocument/2006/relationships/hyperlink" Target="https://arxiv.org/pdf/2509.13396" TargetMode="External"/><Relationship Id="rId121" Type="http://schemas.openxmlformats.org/officeDocument/2006/relationships/hyperlink" Target="https://arxiv.org/pdf/2307.16834" TargetMode="External"/><Relationship Id="rId122" Type="http://schemas.openxmlformats.org/officeDocument/2006/relationships/hyperlink" Target="https://arxiv.org/pdf/2602.13378" TargetMode="External"/><Relationship Id="rId123" Type="http://schemas.openxmlformats.org/officeDocument/2006/relationships/hyperlink" Target="https://link.springer.com/article/10.1365/s43439-021-00022-x" TargetMode="External"/><Relationship Id="rId124" Type="http://schemas.openxmlformats.org/officeDocument/2006/relationships/hyperlink" Target="https://www.frontiersin.org/journals/big-data/articles/10.3389/fdata.2024.1337465/full" TargetMode="External"/><Relationship Id="rId125" Type="http://schemas.openxmlformats.org/officeDocument/2006/relationships/hyperlink" Target="https://arxiv.org/pdf/2011.05163" TargetMode="External"/><Relationship Id="rId126" Type="http://schemas.openxmlformats.org/officeDocument/2006/relationships/hyperlink" Target="https://dl.acm.org/doi/10.1145/3673224" TargetMode="External"/><Relationship Id="rId127" Type="http://schemas.openxmlformats.org/officeDocument/2006/relationships/hyperlink" Target="https://link.springer.com/article/10.1007/s42452-025-06987-2" TargetMode="External"/></Relationships>
</file>