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FF15E" w14:textId="77777777" w:rsidR="002C79E6" w:rsidRPr="00D554D0" w:rsidRDefault="002C79E6" w:rsidP="002C79E6">
      <w:pPr>
        <w:rPr>
          <w:rFonts w:ascii="Times New Roman" w:hAnsi="Times New Roman" w:cs="Times New Roman"/>
          <w:sz w:val="24"/>
        </w:rPr>
      </w:pPr>
    </w:p>
    <w:p w14:paraId="63CB9E8E" w14:textId="77777777" w:rsidR="002C79E6" w:rsidRPr="00D554D0" w:rsidRDefault="002C79E6" w:rsidP="002C79E6">
      <w:pPr>
        <w:rPr>
          <w:rFonts w:ascii="Times New Roman" w:hAnsi="Times New Roman" w:cs="Times New Roman"/>
          <w:sz w:val="24"/>
        </w:rPr>
      </w:pPr>
    </w:p>
    <w:p w14:paraId="158E8DA6" w14:textId="77777777" w:rsidR="002C79E6" w:rsidRPr="00D554D0" w:rsidRDefault="002C79E6" w:rsidP="002C79E6">
      <w:pPr>
        <w:rPr>
          <w:rFonts w:ascii="Times New Roman" w:hAnsi="Times New Roman" w:cs="Times New Roman"/>
          <w:sz w:val="24"/>
        </w:rPr>
      </w:pPr>
    </w:p>
    <w:p w14:paraId="18DCC78A" w14:textId="77777777" w:rsidR="002C79E6" w:rsidRPr="00D554D0" w:rsidRDefault="002C79E6" w:rsidP="002C79E6">
      <w:pPr>
        <w:rPr>
          <w:rFonts w:ascii="Times New Roman" w:hAnsi="Times New Roman" w:cs="Times New Roman"/>
          <w:sz w:val="24"/>
        </w:rPr>
      </w:pPr>
    </w:p>
    <w:p w14:paraId="68DFAF61" w14:textId="77777777" w:rsidR="002C79E6" w:rsidRPr="00D554D0" w:rsidRDefault="002C79E6" w:rsidP="002C79E6">
      <w:pPr>
        <w:rPr>
          <w:rFonts w:ascii="Times New Roman" w:hAnsi="Times New Roman" w:cs="Times New Roman"/>
          <w:sz w:val="24"/>
        </w:rPr>
      </w:pPr>
    </w:p>
    <w:p w14:paraId="0F831D32" w14:textId="486B69D2" w:rsidR="0060295C" w:rsidRPr="00D554D0" w:rsidRDefault="0060295C" w:rsidP="0060295C">
      <w:pPr>
        <w:pStyle w:val="Title"/>
        <w:ind w:firstLine="720"/>
        <w:rPr>
          <w:rFonts w:ascii="Times New Roman" w:hAnsi="Times New Roman" w:cs="Times New Roman"/>
          <w:sz w:val="24"/>
        </w:rPr>
      </w:pPr>
      <w:r w:rsidRPr="00D554D0">
        <w:rPr>
          <w:rFonts w:ascii="Times New Roman" w:hAnsi="Times New Roman" w:cs="Times New Roman"/>
          <w:sz w:val="24"/>
        </w:rPr>
        <w:t>Assignment 3: Executive Summary</w:t>
      </w:r>
    </w:p>
    <w:p w14:paraId="3403B519" w14:textId="77777777" w:rsidR="0060295C" w:rsidRPr="00D554D0" w:rsidRDefault="0060295C" w:rsidP="0060295C">
      <w:pPr>
        <w:pStyle w:val="Subtitle"/>
        <w:ind w:firstLine="720"/>
        <w:rPr>
          <w:rFonts w:ascii="Times New Roman" w:hAnsi="Times New Roman" w:cs="Times New Roman"/>
          <w:sz w:val="24"/>
          <w:szCs w:val="24"/>
        </w:rPr>
      </w:pPr>
    </w:p>
    <w:p w14:paraId="0D4740D3" w14:textId="77777777" w:rsidR="0060295C" w:rsidRPr="00D554D0" w:rsidRDefault="0060295C" w:rsidP="0060295C">
      <w:pPr>
        <w:pStyle w:val="Subtitle"/>
        <w:ind w:firstLine="720"/>
        <w:rPr>
          <w:rFonts w:ascii="Times New Roman" w:hAnsi="Times New Roman" w:cs="Times New Roman"/>
          <w:sz w:val="24"/>
          <w:szCs w:val="24"/>
        </w:rPr>
      </w:pPr>
      <w:r w:rsidRPr="00D554D0">
        <w:rPr>
          <w:rFonts w:ascii="Times New Roman" w:hAnsi="Times New Roman" w:cs="Times New Roman"/>
          <w:sz w:val="24"/>
          <w:szCs w:val="24"/>
        </w:rPr>
        <w:t>Andrew L.J. Rezendes</w:t>
      </w:r>
    </w:p>
    <w:p w14:paraId="018E8FBC" w14:textId="77777777" w:rsidR="0060295C" w:rsidRPr="00D554D0" w:rsidRDefault="0060295C" w:rsidP="0060295C">
      <w:pPr>
        <w:pStyle w:val="Subtitle"/>
        <w:ind w:firstLine="720"/>
        <w:rPr>
          <w:rFonts w:ascii="Times New Roman" w:hAnsi="Times New Roman" w:cs="Times New Roman"/>
          <w:sz w:val="24"/>
          <w:szCs w:val="24"/>
        </w:rPr>
      </w:pPr>
      <w:r w:rsidRPr="00D554D0">
        <w:rPr>
          <w:rFonts w:ascii="Times New Roman" w:hAnsi="Times New Roman" w:cs="Times New Roman"/>
          <w:sz w:val="24"/>
          <w:szCs w:val="24"/>
        </w:rPr>
        <w:t>School of Technology and Engineering, National University</w:t>
      </w:r>
    </w:p>
    <w:p w14:paraId="552CD1CC" w14:textId="77777777" w:rsidR="0060295C" w:rsidRPr="00D554D0" w:rsidRDefault="0060295C" w:rsidP="0060295C">
      <w:pPr>
        <w:pStyle w:val="Subtitle"/>
        <w:ind w:firstLine="720"/>
        <w:rPr>
          <w:rFonts w:ascii="Times New Roman" w:hAnsi="Times New Roman" w:cs="Times New Roman"/>
          <w:sz w:val="24"/>
          <w:szCs w:val="24"/>
        </w:rPr>
      </w:pPr>
      <w:r w:rsidRPr="00D554D0">
        <w:rPr>
          <w:rFonts w:ascii="Times New Roman" w:hAnsi="Times New Roman" w:cs="Times New Roman"/>
          <w:sz w:val="24"/>
          <w:szCs w:val="24"/>
        </w:rPr>
        <w:t>DDS-8550: Predictive Modeling</w:t>
      </w:r>
    </w:p>
    <w:p w14:paraId="33796949" w14:textId="77777777" w:rsidR="0060295C" w:rsidRPr="00D554D0" w:rsidRDefault="0060295C" w:rsidP="0060295C">
      <w:pPr>
        <w:pStyle w:val="Subtitle"/>
        <w:ind w:firstLine="720"/>
        <w:rPr>
          <w:rFonts w:ascii="Times New Roman" w:hAnsi="Times New Roman" w:cs="Times New Roman"/>
          <w:sz w:val="24"/>
          <w:szCs w:val="24"/>
        </w:rPr>
      </w:pPr>
      <w:r w:rsidRPr="00D554D0">
        <w:rPr>
          <w:rFonts w:ascii="Times New Roman" w:hAnsi="Times New Roman" w:cs="Times New Roman"/>
          <w:sz w:val="24"/>
          <w:szCs w:val="24"/>
        </w:rPr>
        <w:t>Dr. Alexander Watt</w:t>
      </w:r>
    </w:p>
    <w:p w14:paraId="53C8E338" w14:textId="6ED8171F" w:rsidR="0060295C" w:rsidRPr="00D554D0" w:rsidRDefault="0060295C" w:rsidP="0060295C">
      <w:pPr>
        <w:pStyle w:val="Subtitle"/>
        <w:ind w:firstLine="720"/>
        <w:rPr>
          <w:rFonts w:ascii="Times New Roman" w:hAnsi="Times New Roman" w:cs="Times New Roman"/>
          <w:sz w:val="24"/>
          <w:szCs w:val="24"/>
        </w:rPr>
      </w:pPr>
      <w:r w:rsidRPr="00D554D0">
        <w:rPr>
          <w:rFonts w:ascii="Times New Roman" w:hAnsi="Times New Roman" w:cs="Times New Roman"/>
          <w:sz w:val="24"/>
          <w:szCs w:val="24"/>
        </w:rPr>
        <w:t>June 29, 2025</w:t>
      </w:r>
    </w:p>
    <w:p w14:paraId="08032922" w14:textId="77777777" w:rsidR="201D26C8" w:rsidRPr="00D554D0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C4DAA4E" w14:textId="77777777" w:rsidR="201D26C8" w:rsidRPr="00D554D0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A8B71F0" w14:textId="77777777" w:rsidR="201D26C8" w:rsidRPr="00D554D0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29EEAEA" w14:textId="77777777" w:rsidR="201D26C8" w:rsidRPr="00D554D0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05A6EDFA" w14:textId="77777777" w:rsidR="201D26C8" w:rsidRPr="00D554D0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0043090" w14:textId="77777777" w:rsidR="201D26C8" w:rsidRPr="00D554D0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BC7EC9C" w14:textId="77777777" w:rsidR="201D26C8" w:rsidRPr="00D554D0" w:rsidRDefault="201D26C8" w:rsidP="014CA2B6">
      <w:pPr>
        <w:pStyle w:val="Title2"/>
        <w:rPr>
          <w:rFonts w:ascii="Times New Roman" w:eastAsia="Calibri" w:hAnsi="Times New Roman" w:cs="Times New Roman"/>
          <w:sz w:val="24"/>
        </w:rPr>
      </w:pPr>
    </w:p>
    <w:p w14:paraId="6FCD16E1" w14:textId="77777777" w:rsidR="000D4642" w:rsidRPr="00D554D0" w:rsidRDefault="000D4642">
      <w:pPr>
        <w:rPr>
          <w:rFonts w:ascii="Times New Roman" w:eastAsia="Calibri" w:hAnsi="Times New Roman" w:cs="Times New Roman"/>
          <w:sz w:val="24"/>
        </w:rPr>
      </w:pPr>
      <w:r w:rsidRPr="00D554D0">
        <w:rPr>
          <w:rFonts w:ascii="Times New Roman" w:eastAsia="Calibri" w:hAnsi="Times New Roman" w:cs="Times New Roman"/>
          <w:sz w:val="24"/>
        </w:rPr>
        <w:br w:type="page"/>
      </w:r>
    </w:p>
    <w:p w14:paraId="29F39978" w14:textId="6B343A06" w:rsidR="00A417C1" w:rsidRPr="00D554D0" w:rsidRDefault="0060295C" w:rsidP="00B863FB">
      <w:pPr>
        <w:pStyle w:val="SectionTitle"/>
        <w:rPr>
          <w:rFonts w:ascii="Times New Roman" w:hAnsi="Times New Roman" w:cs="Times New Roman"/>
          <w:sz w:val="24"/>
        </w:rPr>
      </w:pPr>
      <w:r w:rsidRPr="00D554D0">
        <w:rPr>
          <w:rFonts w:ascii="Times New Roman" w:hAnsi="Times New Roman" w:cs="Times New Roman"/>
          <w:sz w:val="24"/>
        </w:rPr>
        <w:lastRenderedPageBreak/>
        <w:t>Executive Summary</w:t>
      </w:r>
    </w:p>
    <w:p w14:paraId="4FFDB695" w14:textId="77777777" w:rsidR="007E3B4C" w:rsidRPr="007E3B4C" w:rsidRDefault="007E3B4C" w:rsidP="007E3B4C">
      <w:pPr>
        <w:rPr>
          <w:rFonts w:ascii="Times New Roman" w:hAnsi="Times New Roman" w:cs="Times New Roman"/>
          <w:sz w:val="24"/>
        </w:rPr>
      </w:pPr>
      <w:r w:rsidRPr="007E3B4C">
        <w:rPr>
          <w:rFonts w:ascii="Times New Roman" w:hAnsi="Times New Roman" w:cs="Times New Roman"/>
          <w:sz w:val="24"/>
        </w:rPr>
        <w:t xml:space="preserve">This project employed supervised machine learning models to predict the biological age of abalone, marine gastropod mollusks belonging to the family </w:t>
      </w:r>
      <w:proofErr w:type="spellStart"/>
      <w:r w:rsidRPr="007E3B4C">
        <w:rPr>
          <w:rFonts w:ascii="Times New Roman" w:hAnsi="Times New Roman" w:cs="Times New Roman"/>
          <w:i/>
          <w:iCs/>
          <w:sz w:val="24"/>
        </w:rPr>
        <w:t>Haliotidae</w:t>
      </w:r>
      <w:proofErr w:type="spellEnd"/>
      <w:proofErr w:type="gramStart"/>
      <w:r w:rsidRPr="007E3B4C">
        <w:rPr>
          <w:rFonts w:ascii="Times New Roman" w:hAnsi="Times New Roman" w:cs="Times New Roman"/>
          <w:sz w:val="24"/>
        </w:rPr>
        <w:t xml:space="preserve">. </w:t>
      </w:r>
      <w:proofErr w:type="gramEnd"/>
      <w:r w:rsidRPr="007E3B4C">
        <w:rPr>
          <w:rFonts w:ascii="Times New Roman" w:hAnsi="Times New Roman" w:cs="Times New Roman"/>
          <w:sz w:val="24"/>
        </w:rPr>
        <w:t>Biological age was approximated by the number of shell growth rings, using data from the well-established Abalone dataset (Nash, Sellers, Talbot, Cawthorn, &amp; Ford, 1994)</w:t>
      </w:r>
      <w:proofErr w:type="gramStart"/>
      <w:r w:rsidRPr="007E3B4C">
        <w:rPr>
          <w:rFonts w:ascii="Times New Roman" w:hAnsi="Times New Roman" w:cs="Times New Roman"/>
          <w:sz w:val="24"/>
        </w:rPr>
        <w:t xml:space="preserve">. </w:t>
      </w:r>
      <w:proofErr w:type="gramEnd"/>
      <w:r w:rsidRPr="007E3B4C">
        <w:rPr>
          <w:rFonts w:ascii="Times New Roman" w:hAnsi="Times New Roman" w:cs="Times New Roman"/>
          <w:sz w:val="24"/>
        </w:rPr>
        <w:t>The predictive task evaluated three models: a regularization-informed linear regression, principal components regression (PCR), and a baseline Random Forest regression</w:t>
      </w:r>
      <w:proofErr w:type="gramStart"/>
      <w:r w:rsidRPr="007E3B4C">
        <w:rPr>
          <w:rFonts w:ascii="Times New Roman" w:hAnsi="Times New Roman" w:cs="Times New Roman"/>
          <w:sz w:val="24"/>
        </w:rPr>
        <w:t xml:space="preserve">. </w:t>
      </w:r>
      <w:proofErr w:type="gramEnd"/>
      <w:r w:rsidRPr="007E3B4C">
        <w:rPr>
          <w:rFonts w:ascii="Times New Roman" w:hAnsi="Times New Roman" w:cs="Times New Roman"/>
          <w:sz w:val="24"/>
        </w:rPr>
        <w:t>These models were selected to balance predictive performance with interpretability</w:t>
      </w:r>
      <w:proofErr w:type="gramStart"/>
      <w:r w:rsidRPr="007E3B4C">
        <w:rPr>
          <w:rFonts w:ascii="Times New Roman" w:hAnsi="Times New Roman" w:cs="Times New Roman"/>
          <w:sz w:val="24"/>
        </w:rPr>
        <w:t>. Evaluation</w:t>
      </w:r>
      <w:proofErr w:type="gramEnd"/>
      <w:r w:rsidRPr="007E3B4C">
        <w:rPr>
          <w:rFonts w:ascii="Times New Roman" w:hAnsi="Times New Roman" w:cs="Times New Roman"/>
          <w:sz w:val="24"/>
        </w:rPr>
        <w:t xml:space="preserve"> was based on the Root Mean Squared Logarithmic Error (RMSLE), which is robust to skewed target distributions and penalizes large relative errors.</w:t>
      </w:r>
    </w:p>
    <w:p w14:paraId="53525901" w14:textId="77777777" w:rsidR="007E3B4C" w:rsidRPr="007E3B4C" w:rsidRDefault="007E3B4C" w:rsidP="007E3B4C">
      <w:pPr>
        <w:rPr>
          <w:rFonts w:ascii="Times New Roman" w:hAnsi="Times New Roman" w:cs="Times New Roman"/>
          <w:sz w:val="24"/>
        </w:rPr>
      </w:pPr>
      <w:r w:rsidRPr="007E3B4C">
        <w:rPr>
          <w:rFonts w:ascii="Times New Roman" w:hAnsi="Times New Roman" w:cs="Times New Roman"/>
          <w:sz w:val="24"/>
        </w:rPr>
        <w:t xml:space="preserve">Data preprocessing included removal of invalid observations (e.g., height ≤ 0), standardization of column names to </w:t>
      </w:r>
      <w:proofErr w:type="spellStart"/>
      <w:r w:rsidRPr="007E3B4C">
        <w:rPr>
          <w:rFonts w:ascii="Times New Roman" w:hAnsi="Times New Roman" w:cs="Times New Roman"/>
          <w:sz w:val="24"/>
        </w:rPr>
        <w:t>snake_case</w:t>
      </w:r>
      <w:proofErr w:type="spellEnd"/>
      <w:r w:rsidRPr="007E3B4C">
        <w:rPr>
          <w:rFonts w:ascii="Times New Roman" w:hAnsi="Times New Roman" w:cs="Times New Roman"/>
          <w:sz w:val="24"/>
        </w:rPr>
        <w:t>, and domain-informed feature engineering</w:t>
      </w:r>
      <w:proofErr w:type="gramStart"/>
      <w:r w:rsidRPr="007E3B4C">
        <w:rPr>
          <w:rFonts w:ascii="Times New Roman" w:hAnsi="Times New Roman" w:cs="Times New Roman"/>
          <w:sz w:val="24"/>
        </w:rPr>
        <w:t xml:space="preserve">. </w:t>
      </w:r>
      <w:proofErr w:type="gramEnd"/>
      <w:r w:rsidRPr="007E3B4C">
        <w:rPr>
          <w:rFonts w:ascii="Times New Roman" w:hAnsi="Times New Roman" w:cs="Times New Roman"/>
          <w:sz w:val="24"/>
        </w:rPr>
        <w:t xml:space="preserve">Engineered variables included volume (a geometric proxy for shell size), density (mass-to-volume ratio), </w:t>
      </w:r>
      <w:proofErr w:type="spellStart"/>
      <w:r w:rsidRPr="007E3B4C">
        <w:rPr>
          <w:rFonts w:ascii="Times New Roman" w:hAnsi="Times New Roman" w:cs="Times New Roman"/>
          <w:sz w:val="24"/>
        </w:rPr>
        <w:t>shell_ratio</w:t>
      </w:r>
      <w:proofErr w:type="spellEnd"/>
      <w:r w:rsidRPr="007E3B4C">
        <w:rPr>
          <w:rFonts w:ascii="Times New Roman" w:hAnsi="Times New Roman" w:cs="Times New Roman"/>
          <w:sz w:val="24"/>
        </w:rPr>
        <w:t xml:space="preserve"> (proportional shell mass), and </w:t>
      </w:r>
      <w:proofErr w:type="spellStart"/>
      <w:r w:rsidRPr="007E3B4C">
        <w:rPr>
          <w:rFonts w:ascii="Times New Roman" w:hAnsi="Times New Roman" w:cs="Times New Roman"/>
          <w:sz w:val="24"/>
        </w:rPr>
        <w:t>shell_weight</w:t>
      </w:r>
      <w:proofErr w:type="spellEnd"/>
      <w:r w:rsidRPr="007E3B4C">
        <w:rPr>
          <w:rFonts w:ascii="Times New Roman" w:hAnsi="Times New Roman" w:cs="Times New Roman"/>
          <w:sz w:val="24"/>
        </w:rPr>
        <w:t xml:space="preserve"> (a derived weight differential)</w:t>
      </w:r>
      <w:proofErr w:type="gramStart"/>
      <w:r w:rsidRPr="007E3B4C">
        <w:rPr>
          <w:rFonts w:ascii="Times New Roman" w:hAnsi="Times New Roman" w:cs="Times New Roman"/>
          <w:sz w:val="24"/>
        </w:rPr>
        <w:t xml:space="preserve">. </w:t>
      </w:r>
      <w:proofErr w:type="gramEnd"/>
      <w:r w:rsidRPr="007E3B4C">
        <w:rPr>
          <w:rFonts w:ascii="Times New Roman" w:hAnsi="Times New Roman" w:cs="Times New Roman"/>
          <w:sz w:val="24"/>
        </w:rPr>
        <w:t>These features were informed by biological insight into mollusk morphology (Palmer, 1992).</w:t>
      </w:r>
    </w:p>
    <w:p w14:paraId="192D6444" w14:textId="77777777" w:rsidR="007E3B4C" w:rsidRPr="007E3B4C" w:rsidRDefault="007E3B4C" w:rsidP="007E3B4C">
      <w:pPr>
        <w:rPr>
          <w:rFonts w:ascii="Times New Roman" w:hAnsi="Times New Roman" w:cs="Times New Roman"/>
          <w:sz w:val="24"/>
        </w:rPr>
      </w:pPr>
      <w:r w:rsidRPr="007E3B4C">
        <w:rPr>
          <w:rFonts w:ascii="Times New Roman" w:hAnsi="Times New Roman" w:cs="Times New Roman"/>
          <w:sz w:val="24"/>
        </w:rPr>
        <w:t>Because no external labels were available, a standard 80/20 train-validation split was employed (Kuhn &amp; Johnson, 2013), balancing data efficiency with generalizability</w:t>
      </w:r>
      <w:proofErr w:type="gramStart"/>
      <w:r w:rsidRPr="007E3B4C">
        <w:rPr>
          <w:rFonts w:ascii="Times New Roman" w:hAnsi="Times New Roman" w:cs="Times New Roman"/>
          <w:sz w:val="24"/>
        </w:rPr>
        <w:t xml:space="preserve">. </w:t>
      </w:r>
      <w:proofErr w:type="gramEnd"/>
      <w:r w:rsidRPr="007E3B4C">
        <w:rPr>
          <w:rFonts w:ascii="Times New Roman" w:hAnsi="Times New Roman" w:cs="Times New Roman"/>
          <w:sz w:val="24"/>
        </w:rPr>
        <w:t>Among the models evaluated, the Lasso-informed linear regression achieved the best performance with a RMSLE of 0.1668, using a subset of nine predictors selected through L1 regularization</w:t>
      </w:r>
      <w:proofErr w:type="gramStart"/>
      <w:r w:rsidRPr="007E3B4C">
        <w:rPr>
          <w:rFonts w:ascii="Times New Roman" w:hAnsi="Times New Roman" w:cs="Times New Roman"/>
          <w:sz w:val="24"/>
        </w:rPr>
        <w:t xml:space="preserve">. </w:t>
      </w:r>
      <w:proofErr w:type="gramEnd"/>
      <w:r w:rsidRPr="007E3B4C">
        <w:rPr>
          <w:rFonts w:ascii="Times New Roman" w:hAnsi="Times New Roman" w:cs="Times New Roman"/>
          <w:sz w:val="24"/>
        </w:rPr>
        <w:t>This model also demonstrated an R² of 0.602, suggesting substantial explanatory power</w:t>
      </w:r>
      <w:proofErr w:type="gramStart"/>
      <w:r w:rsidRPr="007E3B4C">
        <w:rPr>
          <w:rFonts w:ascii="Times New Roman" w:hAnsi="Times New Roman" w:cs="Times New Roman"/>
          <w:sz w:val="24"/>
        </w:rPr>
        <w:t xml:space="preserve">. </w:t>
      </w:r>
      <w:proofErr w:type="gramEnd"/>
      <w:r w:rsidRPr="007E3B4C">
        <w:rPr>
          <w:rFonts w:ascii="Times New Roman" w:hAnsi="Times New Roman" w:cs="Times New Roman"/>
          <w:sz w:val="24"/>
        </w:rPr>
        <w:t>While residual diagnostics showed skewness and deviation from normality, the model's interpretability and sparsity make it a practical choice for ecological applications.</w:t>
      </w:r>
    </w:p>
    <w:p w14:paraId="7D6C4391" w14:textId="77777777" w:rsidR="007E3B4C" w:rsidRPr="007E3B4C" w:rsidRDefault="007E3B4C" w:rsidP="007E3B4C">
      <w:pPr>
        <w:rPr>
          <w:rFonts w:ascii="Times New Roman" w:hAnsi="Times New Roman" w:cs="Times New Roman"/>
          <w:sz w:val="24"/>
        </w:rPr>
      </w:pPr>
      <w:r w:rsidRPr="007E3B4C">
        <w:rPr>
          <w:rFonts w:ascii="Times New Roman" w:hAnsi="Times New Roman" w:cs="Times New Roman"/>
          <w:sz w:val="24"/>
        </w:rPr>
        <w:lastRenderedPageBreak/>
        <w:t>The Principal Components Regression model reduced the input space to three orthogonal components explaining 95% of the total variance</w:t>
      </w:r>
      <w:proofErr w:type="gramStart"/>
      <w:r w:rsidRPr="007E3B4C">
        <w:rPr>
          <w:rFonts w:ascii="Times New Roman" w:hAnsi="Times New Roman" w:cs="Times New Roman"/>
          <w:sz w:val="24"/>
        </w:rPr>
        <w:t xml:space="preserve">. </w:t>
      </w:r>
      <w:proofErr w:type="gramEnd"/>
      <w:r w:rsidRPr="007E3B4C">
        <w:rPr>
          <w:rFonts w:ascii="Times New Roman" w:hAnsi="Times New Roman" w:cs="Times New Roman"/>
          <w:sz w:val="24"/>
        </w:rPr>
        <w:t>While this approach addressed multicollinearity, its predictive accuracy was lower, with a RMSLE of 0.1887. Additionally, interpretability was diminished due to the abstract nature of principal components and unclear variable loadings.</w:t>
      </w:r>
    </w:p>
    <w:p w14:paraId="3D68FABA" w14:textId="77777777" w:rsidR="007E3B4C" w:rsidRPr="007E3B4C" w:rsidRDefault="007E3B4C" w:rsidP="007E3B4C">
      <w:pPr>
        <w:rPr>
          <w:rFonts w:ascii="Times New Roman" w:hAnsi="Times New Roman" w:cs="Times New Roman"/>
          <w:sz w:val="24"/>
        </w:rPr>
      </w:pPr>
      <w:r w:rsidRPr="007E3B4C">
        <w:rPr>
          <w:rFonts w:ascii="Times New Roman" w:hAnsi="Times New Roman" w:cs="Times New Roman"/>
          <w:sz w:val="24"/>
        </w:rPr>
        <w:t>The Random Forest model, evaluated in preliminary experiments, achieved a RMSLE of 0.1663, slightly outperforming both linear models</w:t>
      </w:r>
      <w:proofErr w:type="gramStart"/>
      <w:r w:rsidRPr="007E3B4C">
        <w:rPr>
          <w:rFonts w:ascii="Times New Roman" w:hAnsi="Times New Roman" w:cs="Times New Roman"/>
          <w:sz w:val="24"/>
        </w:rPr>
        <w:t xml:space="preserve">. </w:t>
      </w:r>
      <w:proofErr w:type="gramEnd"/>
      <w:r w:rsidRPr="007E3B4C">
        <w:rPr>
          <w:rFonts w:ascii="Times New Roman" w:hAnsi="Times New Roman" w:cs="Times New Roman"/>
          <w:sz w:val="24"/>
        </w:rPr>
        <w:t>However, the marginal improvement (&lt; 0.01) suggests that the predictive structure of the data is predominantly linear and well captured by feature engineering</w:t>
      </w:r>
      <w:proofErr w:type="gramStart"/>
      <w:r w:rsidRPr="007E3B4C">
        <w:rPr>
          <w:rFonts w:ascii="Times New Roman" w:hAnsi="Times New Roman" w:cs="Times New Roman"/>
          <w:sz w:val="24"/>
        </w:rPr>
        <w:t xml:space="preserve">. </w:t>
      </w:r>
      <w:proofErr w:type="gramEnd"/>
      <w:r w:rsidRPr="007E3B4C">
        <w:rPr>
          <w:rFonts w:ascii="Times New Roman" w:hAnsi="Times New Roman" w:cs="Times New Roman"/>
          <w:sz w:val="24"/>
        </w:rPr>
        <w:t>This aligns with previous findings that Random Forests perform robustly in complex domains (</w:t>
      </w:r>
      <w:proofErr w:type="spellStart"/>
      <w:r w:rsidRPr="007E3B4C">
        <w:rPr>
          <w:rFonts w:ascii="Times New Roman" w:hAnsi="Times New Roman" w:cs="Times New Roman"/>
          <w:sz w:val="24"/>
        </w:rPr>
        <w:t>Breiman</w:t>
      </w:r>
      <w:proofErr w:type="spellEnd"/>
      <w:r w:rsidRPr="007E3B4C">
        <w:rPr>
          <w:rFonts w:ascii="Times New Roman" w:hAnsi="Times New Roman" w:cs="Times New Roman"/>
          <w:sz w:val="24"/>
        </w:rPr>
        <w:t>, 2001), but do not always offer substantial gains when simpler models are well-specified.</w:t>
      </w:r>
    </w:p>
    <w:p w14:paraId="7F677E85" w14:textId="77777777" w:rsidR="007E3B4C" w:rsidRPr="007E3B4C" w:rsidRDefault="007E3B4C" w:rsidP="007E3B4C">
      <w:pPr>
        <w:rPr>
          <w:rFonts w:ascii="Times New Roman" w:hAnsi="Times New Roman" w:cs="Times New Roman"/>
          <w:sz w:val="24"/>
        </w:rPr>
      </w:pPr>
      <w:r w:rsidRPr="007E3B4C">
        <w:rPr>
          <w:rFonts w:ascii="Times New Roman" w:hAnsi="Times New Roman" w:cs="Times New Roman"/>
          <w:sz w:val="24"/>
        </w:rPr>
        <w:t>In conclusion, although Random Forests performed best in absolute terms, the Lasso-informed linear model demonstrated nearly equivalent accuracy with greater parsimony and transparency</w:t>
      </w:r>
      <w:proofErr w:type="gramStart"/>
      <w:r w:rsidRPr="007E3B4C">
        <w:rPr>
          <w:rFonts w:ascii="Times New Roman" w:hAnsi="Times New Roman" w:cs="Times New Roman"/>
          <w:sz w:val="24"/>
        </w:rPr>
        <w:t xml:space="preserve">. </w:t>
      </w:r>
      <w:proofErr w:type="gramEnd"/>
      <w:r w:rsidRPr="007E3B4C">
        <w:rPr>
          <w:rFonts w:ascii="Times New Roman" w:hAnsi="Times New Roman" w:cs="Times New Roman"/>
          <w:sz w:val="24"/>
        </w:rPr>
        <w:t>This underscores the importance of combining domain knowledge with algorithmic strategy to design effective predictive models for real-world biological data.</w:t>
      </w:r>
    </w:p>
    <w:p w14:paraId="6D558C8D" w14:textId="77777777" w:rsidR="00A417C1" w:rsidRPr="00D554D0" w:rsidRDefault="00000000" w:rsidP="5D68E123">
      <w:pPr>
        <w:pStyle w:val="SectionTitle"/>
        <w:rPr>
          <w:rFonts w:ascii="Times New Roman" w:eastAsia="Calibri" w:hAnsi="Times New Roman" w:cs="Times New Roman"/>
          <w:b w:val="0"/>
          <w:bCs/>
          <w:sz w:val="24"/>
        </w:rPr>
      </w:pPr>
      <w:sdt>
        <w:sdtPr>
          <w:rPr>
            <w:rFonts w:ascii="Times New Roman" w:hAnsi="Times New Roman" w:cs="Times New Roman"/>
            <w:sz w:val="24"/>
          </w:rPr>
          <w:id w:val="-1638559448"/>
          <w:placeholder>
            <w:docPart w:val="840B6AFF8C21415B98B79E4B1808C466"/>
          </w:placeholder>
          <w:temporary/>
          <w:showingPlcHdr/>
          <w15:appearance w15:val="hidden"/>
        </w:sdtPr>
        <w:sdtContent>
          <w:r w:rsidR="00664C1A" w:rsidRPr="00D554D0">
            <w:rPr>
              <w:rFonts w:ascii="Times New Roman" w:hAnsi="Times New Roman" w:cs="Times New Roman"/>
              <w:sz w:val="24"/>
            </w:rPr>
            <w:t>References</w:t>
          </w:r>
        </w:sdtContent>
      </w:sdt>
    </w:p>
    <w:p w14:paraId="6FDAB928" w14:textId="77777777" w:rsidR="0060295C" w:rsidRPr="00D554D0" w:rsidRDefault="0060295C" w:rsidP="0060295C">
      <w:pPr>
        <w:pStyle w:val="Bibliography"/>
        <w:rPr>
          <w:rFonts w:ascii="Times New Roman" w:hAnsi="Times New Roman" w:cs="Times New Roman"/>
          <w:noProof/>
          <w:sz w:val="24"/>
        </w:rPr>
      </w:pPr>
      <w:r w:rsidRPr="00D554D0">
        <w:rPr>
          <w:rFonts w:ascii="Times New Roman" w:hAnsi="Times New Roman" w:cs="Times New Roman"/>
          <w:noProof/>
          <w:sz w:val="24"/>
        </w:rPr>
        <w:t xml:space="preserve">Breiman, L. (2001). Random forests. </w:t>
      </w:r>
      <w:r w:rsidRPr="00D554D0">
        <w:rPr>
          <w:rFonts w:ascii="Times New Roman" w:hAnsi="Times New Roman" w:cs="Times New Roman"/>
          <w:i/>
          <w:iCs/>
          <w:noProof/>
          <w:sz w:val="24"/>
        </w:rPr>
        <w:t>Machine Learning, 45</w:t>
      </w:r>
      <w:r w:rsidRPr="00D554D0">
        <w:rPr>
          <w:rFonts w:ascii="Times New Roman" w:hAnsi="Times New Roman" w:cs="Times New Roman"/>
          <w:noProof/>
          <w:sz w:val="24"/>
        </w:rPr>
        <w:t>(1), 5–32. https://doi.org/10.1023/A:1010933404324</w:t>
      </w:r>
    </w:p>
    <w:p w14:paraId="34FE2CD7" w14:textId="77777777" w:rsidR="0060295C" w:rsidRPr="00D554D0" w:rsidRDefault="0060295C" w:rsidP="0060295C">
      <w:pPr>
        <w:pStyle w:val="Bibliography"/>
        <w:rPr>
          <w:rFonts w:ascii="Times New Roman" w:hAnsi="Times New Roman" w:cs="Times New Roman"/>
          <w:noProof/>
          <w:sz w:val="24"/>
        </w:rPr>
      </w:pPr>
      <w:r w:rsidRPr="00D554D0">
        <w:rPr>
          <w:rFonts w:ascii="Times New Roman" w:hAnsi="Times New Roman" w:cs="Times New Roman"/>
          <w:noProof/>
          <w:sz w:val="24"/>
        </w:rPr>
        <w:t xml:space="preserve">Nash, W. J., Sellers, T. L., Talbot, S. R., Cawthorn, A. J., &amp; Ford, W. B. (1994). </w:t>
      </w:r>
      <w:r w:rsidRPr="00D554D0">
        <w:rPr>
          <w:rFonts w:ascii="Times New Roman" w:hAnsi="Times New Roman" w:cs="Times New Roman"/>
          <w:i/>
          <w:iCs/>
          <w:noProof/>
          <w:sz w:val="24"/>
        </w:rPr>
        <w:t>The population biology of abalone (Haliotis species) in Tasmania. I. Blacklip abalone (H. rubra) from the North Coast and Islands of Bass Strait</w:t>
      </w:r>
      <w:r w:rsidRPr="00D554D0">
        <w:rPr>
          <w:rFonts w:ascii="Times New Roman" w:hAnsi="Times New Roman" w:cs="Times New Roman"/>
          <w:noProof/>
          <w:sz w:val="24"/>
        </w:rPr>
        <w:t>. Sea Fisheries Division, Technical Report No. 48. https://doi.org/10.13140/RG.2.2.19874.63688</w:t>
      </w:r>
    </w:p>
    <w:p w14:paraId="160B10F2" w14:textId="77777777" w:rsidR="0060295C" w:rsidRPr="00D554D0" w:rsidRDefault="0060295C" w:rsidP="0060295C">
      <w:pPr>
        <w:pStyle w:val="Bibliography"/>
        <w:rPr>
          <w:rFonts w:ascii="Times New Roman" w:hAnsi="Times New Roman" w:cs="Times New Roman"/>
          <w:noProof/>
          <w:sz w:val="24"/>
        </w:rPr>
      </w:pPr>
      <w:r w:rsidRPr="00D554D0">
        <w:rPr>
          <w:rFonts w:ascii="Times New Roman" w:hAnsi="Times New Roman" w:cs="Times New Roman"/>
          <w:noProof/>
          <w:sz w:val="24"/>
        </w:rPr>
        <w:t xml:space="preserve">Palmer, A. R. (1992). Calcification in marine mollusks: How costly is it? Proceedings of the National Academy of Sciences, 89(4), 1379–1382. </w:t>
      </w:r>
      <w:hyperlink r:id="rId10" w:history="1">
        <w:r w:rsidRPr="00D554D0">
          <w:rPr>
            <w:rFonts w:ascii="Times New Roman" w:hAnsi="Times New Roman" w:cs="Times New Roman"/>
            <w:sz w:val="24"/>
          </w:rPr>
          <w:t>https://doi.org/10.1073/pnas.89.4.1379</w:t>
        </w:r>
      </w:hyperlink>
    </w:p>
    <w:p w14:paraId="5FF8F91F" w14:textId="4D543CB9" w:rsidR="67AE9998" w:rsidRPr="00D554D0" w:rsidRDefault="0060295C" w:rsidP="0060295C">
      <w:pPr>
        <w:pStyle w:val="Bibliography"/>
        <w:rPr>
          <w:rFonts w:ascii="Times New Roman" w:hAnsi="Times New Roman" w:cs="Times New Roman"/>
          <w:noProof/>
          <w:sz w:val="24"/>
        </w:rPr>
      </w:pPr>
      <w:r w:rsidRPr="00D554D0">
        <w:rPr>
          <w:rFonts w:ascii="Times New Roman" w:hAnsi="Times New Roman" w:cs="Times New Roman"/>
          <w:noProof/>
          <w:sz w:val="24"/>
        </w:rPr>
        <w:t>Kuhn, M., &amp; Johnson, K. (2013). Applied predictive modeling. Springer. https://doi.org/10.1007/978-1-4614-6849-3</w:t>
      </w:r>
    </w:p>
    <w:sectPr w:rsidR="67AE9998" w:rsidRPr="00D554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7CDFB" w14:textId="77777777" w:rsidR="00DB703A" w:rsidRDefault="00DB703A">
      <w:pPr>
        <w:spacing w:line="240" w:lineRule="auto"/>
      </w:pPr>
      <w:r>
        <w:separator/>
      </w:r>
    </w:p>
    <w:p w14:paraId="2405EBD4" w14:textId="77777777" w:rsidR="00DB703A" w:rsidRDefault="00DB703A"/>
  </w:endnote>
  <w:endnote w:type="continuationSeparator" w:id="0">
    <w:p w14:paraId="13C545B6" w14:textId="77777777" w:rsidR="00DB703A" w:rsidRDefault="00DB703A">
      <w:pPr>
        <w:spacing w:line="240" w:lineRule="auto"/>
      </w:pPr>
      <w:r>
        <w:continuationSeparator/>
      </w:r>
    </w:p>
    <w:p w14:paraId="1210105E" w14:textId="77777777" w:rsidR="00DB703A" w:rsidRDefault="00DB70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A57DA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9115A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279FE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1ED37" w14:textId="77777777" w:rsidR="00DB703A" w:rsidRDefault="00DB703A">
      <w:pPr>
        <w:spacing w:line="240" w:lineRule="auto"/>
      </w:pPr>
      <w:r>
        <w:separator/>
      </w:r>
    </w:p>
    <w:p w14:paraId="71D6305E" w14:textId="77777777" w:rsidR="00DB703A" w:rsidRDefault="00DB703A"/>
  </w:footnote>
  <w:footnote w:type="continuationSeparator" w:id="0">
    <w:p w14:paraId="4A13706A" w14:textId="77777777" w:rsidR="00DB703A" w:rsidRDefault="00DB703A">
      <w:pPr>
        <w:spacing w:line="240" w:lineRule="auto"/>
      </w:pPr>
      <w:r>
        <w:continuationSeparator/>
      </w:r>
    </w:p>
    <w:p w14:paraId="66CC5E7C" w14:textId="77777777" w:rsidR="00DB703A" w:rsidRDefault="00DB70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95DB4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6F095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3D78E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5C"/>
    <w:rsid w:val="00023AFE"/>
    <w:rsid w:val="000A3D9B"/>
    <w:rsid w:val="000D4642"/>
    <w:rsid w:val="000D539D"/>
    <w:rsid w:val="00116273"/>
    <w:rsid w:val="002C79E6"/>
    <w:rsid w:val="002F3AE9"/>
    <w:rsid w:val="003804CC"/>
    <w:rsid w:val="004360EB"/>
    <w:rsid w:val="005C199E"/>
    <w:rsid w:val="005C4DE9"/>
    <w:rsid w:val="0060295C"/>
    <w:rsid w:val="00664C1A"/>
    <w:rsid w:val="006C7CA5"/>
    <w:rsid w:val="007E3B4C"/>
    <w:rsid w:val="0087407D"/>
    <w:rsid w:val="00A417C1"/>
    <w:rsid w:val="00B863FB"/>
    <w:rsid w:val="00B86440"/>
    <w:rsid w:val="00BB2D6F"/>
    <w:rsid w:val="00C00F8F"/>
    <w:rsid w:val="00C03068"/>
    <w:rsid w:val="00C27B6C"/>
    <w:rsid w:val="00D554D0"/>
    <w:rsid w:val="00D620FD"/>
    <w:rsid w:val="00D91044"/>
    <w:rsid w:val="00DB703A"/>
    <w:rsid w:val="00E67454"/>
    <w:rsid w:val="00EF55C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7C4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doi.org/10.1073/pnas.89.4.1379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292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40B6AFF8C21415B98B79E4B1808C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5CAB2-36EC-4E1E-B247-1FDEFC6A6BAA}"/>
      </w:docPartPr>
      <w:docPartBody>
        <w:p w:rsidR="00E444AB" w:rsidRDefault="00000000">
          <w:pPr>
            <w:pStyle w:val="840B6AFF8C21415B98B79E4B1808C466"/>
          </w:pPr>
          <w:bookmarkStart w:id="0" w:name="_Int_pGJ5iSU8"/>
          <w:bookmarkEnd w:id="0"/>
          <w:r w:rsidRPr="00664C1A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CC"/>
    <w:rsid w:val="00063BCC"/>
    <w:rsid w:val="005C4DE9"/>
    <w:rsid w:val="006C7CA5"/>
    <w:rsid w:val="00D41200"/>
    <w:rsid w:val="00E4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paragraph" w:customStyle="1" w:styleId="840B6AFF8C21415B98B79E4B1808C466">
    <w:name w:val="840B6AFF8C21415B98B79E4B1808C466"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2025-06-29T20:22:00Z</dcterms:created>
  <dcterms:modified xsi:type="dcterms:W3CDTF">2025-06-29T21:27:00Z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