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56"/>
        <w:ind w:left="0" w:right="0"/>
      </w:pPr>
    </w:p>
    <w:p>
      <w:pPr>
        <w:autoSpaceDN w:val="0"/>
        <w:autoSpaceDE w:val="0"/>
        <w:widowControl/>
        <w:spacing w:line="320" w:lineRule="exact" w:before="0" w:after="0"/>
        <w:ind w:left="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32"/>
        </w:rPr>
        <w:t>BD2MAA 使用前必看</w:t>
      </w:r>
    </w:p>
    <w:p>
      <w:pPr>
        <w:autoSpaceDN w:val="0"/>
        <w:autoSpaceDE w:val="0"/>
        <w:widowControl/>
        <w:spacing w:line="180" w:lineRule="exact" w:before="184" w:after="0"/>
        <w:ind w:left="0" w:right="0" w:firstLine="0"/>
        <w:jc w:val="left"/>
      </w:pPr>
      <w:r>
        <w:rPr>
          <w:rFonts w:ascii="SimHei" w:hAnsi="SimHei" w:eastAsia="SimHei"/>
          <w:b w:val="0"/>
          <w:i w:val="0"/>
          <w:color w:val="787878"/>
          <w:sz w:val="18"/>
        </w:rPr>
        <w:t>《棕色尘埃2》PC 端日常自动化脚本 · 使用前必读</w:t>
      </w:r>
    </w:p>
    <w:p>
      <w:pPr>
        <w:autoSpaceDN w:val="0"/>
        <w:autoSpaceDE w:val="0"/>
        <w:widowControl/>
        <w:spacing w:line="366" w:lineRule="exact" w:before="236" w:after="0"/>
        <w:ind w:left="0" w:right="6336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6"/>
        </w:rPr>
        <w:t xml:space="preserve"> Maa Assistant Browndust2</w:t>
      </w:r>
      <w:r>
        <w:br/>
      </w:r>
      <w:r>
        <w:rPr>
          <w:rFonts w:ascii="SimHei" w:hAnsi="SimHei" w:eastAsia="SimHei"/>
          <w:b w:val="0"/>
          <w:i w:val="0"/>
          <w:color w:val="000000"/>
          <w:sz w:val="22"/>
        </w:rPr>
        <w:t>《棕色尘埃2》PC端日常自动化脚本</w:t>
      </w:r>
    </w:p>
    <w:p>
      <w:pPr>
        <w:autoSpaceDN w:val="0"/>
        <w:autoSpaceDE w:val="0"/>
        <w:widowControl/>
        <w:spacing w:line="220" w:lineRule="exact" w:before="318" w:after="0"/>
        <w:ind w:left="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>使用前必看（按重要程度从高到低排列）：</w:t>
      </w:r>
    </w:p>
    <w:p>
      <w:pPr>
        <w:autoSpaceDN w:val="0"/>
        <w:autoSpaceDE w:val="0"/>
        <w:widowControl/>
        <w:spacing w:line="370" w:lineRule="exact" w:before="168" w:after="0"/>
        <w:ind w:left="0" w:right="288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>一、</w:t>
      </w:r>
      <w:r>
        <w:rPr>
          <w:rFonts w:ascii="SimHei" w:hAnsi="SimHei" w:eastAsia="SimHei"/>
          <w:b w:val="0"/>
          <w:i w:val="0"/>
          <w:color w:val="FF0000"/>
          <w:sz w:val="22"/>
        </w:rPr>
        <w:t>必做</w:t>
      </w:r>
      <w:r>
        <w:rPr>
          <w:rFonts w:ascii="SimHei" w:hAnsi="SimHei" w:eastAsia="SimHei"/>
          <w:b w:val="0"/>
          <w:i w:val="0"/>
          <w:color w:val="000000"/>
          <w:sz w:val="22"/>
        </w:rPr>
        <w:t>·全局前置（任一项未设置，脚本将无法正常工作）</w:t>
      </w:r>
      <w:r>
        <w:br/>
      </w:r>
      <w:r>
        <w:rPr>
          <w:rFonts w:ascii="SimHei" w:hAnsi="SimHei" w:eastAsia="SimHei"/>
          <w:b w:val="0"/>
          <w:i w:val="0"/>
          <w:color w:val="000000"/>
          <w:sz w:val="22"/>
        </w:rPr>
        <w:t>1.游戏内语言请使用「</w:t>
      </w:r>
      <w:r>
        <w:rPr>
          <w:rFonts w:ascii="SimHei" w:hAnsi="SimHei" w:eastAsia="SimHei"/>
          <w:b w:val="0"/>
          <w:i w:val="0"/>
          <w:color w:val="FF0000"/>
          <w:sz w:val="22"/>
        </w:rPr>
        <w:t>简体中文</w:t>
      </w:r>
      <w:r>
        <w:rPr>
          <w:rFonts w:ascii="SimHei" w:hAnsi="SimHei" w:eastAsia="SimHei"/>
          <w:b w:val="0"/>
          <w:i w:val="0"/>
          <w:color w:val="000000"/>
          <w:sz w:val="22"/>
        </w:rPr>
        <w:t>」；否则脚本的文字识别会全部失效。</w:t>
      </w:r>
    </w:p>
    <w:p>
      <w:pPr>
        <w:autoSpaceDN w:val="0"/>
        <w:autoSpaceDE w:val="0"/>
        <w:widowControl/>
        <w:spacing w:line="368" w:lineRule="exact" w:before="0" w:after="0"/>
        <w:ind w:left="0" w:right="144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>2.请以「</w:t>
      </w:r>
      <w:r>
        <w:rPr>
          <w:rFonts w:ascii="SimHei" w:hAnsi="SimHei" w:eastAsia="SimHei"/>
          <w:b w:val="0"/>
          <w:i w:val="0"/>
          <w:color w:val="FF0000"/>
          <w:sz w:val="22"/>
        </w:rPr>
        <w:t>窗口化 16:9、1920×1080 分辨率</w:t>
      </w:r>
      <w:r>
        <w:rPr>
          <w:rFonts w:ascii="SimHei" w:hAnsi="SimHei" w:eastAsia="SimHei"/>
          <w:b w:val="0"/>
          <w:i w:val="0"/>
          <w:color w:val="000000"/>
          <w:sz w:val="22"/>
        </w:rPr>
        <w:t>」运行游戏（</w:t>
      </w:r>
      <w:r>
        <w:rPr>
          <w:rFonts w:ascii="SimHei" w:hAnsi="SimHei" w:eastAsia="SimHei"/>
          <w:b w:val="0"/>
          <w:i w:val="0"/>
          <w:color w:val="FF0000"/>
          <w:sz w:val="22"/>
        </w:rPr>
        <w:t>1080P 显示器建议全屏运行游戏</w:t>
      </w:r>
      <w:r>
        <w:rPr>
          <w:rFonts w:ascii="SimHei" w:hAnsi="SimHei" w:eastAsia="SimHei"/>
          <w:b w:val="0"/>
          <w:i w:val="0"/>
          <w:color w:val="000000"/>
          <w:sz w:val="22"/>
        </w:rPr>
        <w:t>）；分辨</w:t>
      </w:r>
      <w:r>
        <w:rPr>
          <w:rFonts w:ascii="SimHei" w:hAnsi="SimHei" w:eastAsia="SimHei"/>
          <w:b w:val="0"/>
          <w:i w:val="0"/>
          <w:color w:val="000000"/>
          <w:sz w:val="22"/>
        </w:rPr>
        <w:t>率不符会导致图像识别失败。</w:t>
      </w:r>
    </w:p>
    <w:p>
      <w:pPr>
        <w:autoSpaceDN w:val="0"/>
        <w:tabs>
          <w:tab w:pos="950" w:val="left"/>
        </w:tabs>
        <w:autoSpaceDE w:val="0"/>
        <w:widowControl/>
        <w:spacing w:line="368" w:lineRule="exact" w:before="172" w:after="0"/>
        <w:ind w:left="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>PS:在脚本软件中添加并置顶“前置程序”任务，在附加参数一栏填入"-screen-width 1920 -screen</w:t>
      </w:r>
      <w:r>
        <w:rPr>
          <w:rFonts w:ascii="SimHei" w:hAnsi="SimHei" w:eastAsia="SimHei"/>
          <w:b w:val="0"/>
          <w:i w:val="0"/>
          <w:color w:val="000000"/>
          <w:sz w:val="22"/>
        </w:rPr>
        <w:t>-height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2"/>
        </w:rPr>
        <w:t xml:space="preserve"> 1080"(不要填入引号)，执行任务打开游戏窗口，即可使游戏分辨率达到要求！！（详情见</w:t>
      </w:r>
      <w:r>
        <w:rPr>
          <w:rFonts w:ascii="SimHei" w:hAnsi="SimHei" w:eastAsia="SimHei"/>
          <w:b w:val="0"/>
          <w:i w:val="0"/>
          <w:color w:val="000000"/>
          <w:sz w:val="22"/>
        </w:rPr>
        <w:t>根目录重要教学.</w:t>
      </w:r>
      <w:r>
        <w:rPr>
          <w:rFonts w:ascii="SimHei" w:hAnsi="SimHei" w:eastAsia="SimHei"/>
          <w:b w:val="0"/>
          <w:i w:val="0"/>
          <w:color w:val="000000"/>
          <w:sz w:val="22"/>
        </w:rPr>
        <w:t>mp4</w:t>
      </w:r>
      <w:r>
        <w:rPr>
          <w:rFonts w:ascii="SimHei" w:hAnsi="SimHei" w:eastAsia="SimHei"/>
          <w:b w:val="0"/>
          <w:i w:val="0"/>
          <w:color w:val="000000"/>
          <w:sz w:val="22"/>
        </w:rPr>
        <w:t>）</w:t>
      </w:r>
    </w:p>
    <w:p>
      <w:pPr>
        <w:autoSpaceDN w:val="0"/>
        <w:autoSpaceDE w:val="0"/>
        <w:widowControl/>
        <w:spacing w:line="370" w:lineRule="exact" w:before="168" w:after="0"/>
        <w:ind w:left="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>3.请在游戏设置的「操作设置」中，将方向键设置为「</w:t>
      </w:r>
      <w:r>
        <w:rPr>
          <w:rFonts w:ascii="SimHei" w:hAnsi="SimHei" w:eastAsia="SimHei"/>
          <w:b w:val="0"/>
          <w:i w:val="0"/>
          <w:color w:val="FF0000"/>
          <w:sz w:val="22"/>
        </w:rPr>
        <w:t>固定式</w:t>
      </w:r>
      <w:r>
        <w:rPr>
          <w:rFonts w:ascii="SimHei" w:hAnsi="SimHei" w:eastAsia="SimHei"/>
          <w:b w:val="0"/>
          <w:i w:val="0"/>
          <w:color w:val="000000"/>
          <w:sz w:val="22"/>
        </w:rPr>
        <w:t>」；否则需要移动位置的任务会失败。</w:t>
      </w:r>
      <w:r>
        <w:rPr>
          <w:rFonts w:ascii="SimHei" w:hAnsi="SimHei" w:eastAsia="SimHei"/>
          <w:b w:val="0"/>
          <w:i w:val="0"/>
          <w:color w:val="000000"/>
          <w:sz w:val="22"/>
        </w:rPr>
        <w:t>4.请开启游戏的「剪影模式」（如未开启，脚本会自动开启）；可提升识别稳定性与运行效率。</w:t>
      </w:r>
    </w:p>
    <w:p>
      <w:pPr>
        <w:autoSpaceDN w:val="0"/>
        <w:autoSpaceDE w:val="0"/>
        <w:widowControl/>
        <w:spacing w:line="368" w:lineRule="exact" w:before="170" w:after="0"/>
        <w:ind w:left="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>二、启动方式</w:t>
      </w:r>
      <w:r>
        <w:br/>
      </w:r>
      <w:r>
        <w:rPr>
          <w:rFonts w:ascii="SimHei" w:hAnsi="SimHei" w:eastAsia="SimHei"/>
          <w:b w:val="0"/>
          <w:i w:val="0"/>
          <w:color w:val="000000"/>
          <w:sz w:val="22"/>
        </w:rPr>
        <w:t xml:space="preserve">5. 先运行游戏程序 BrownDust II.exe，再双击根目录的 </w:t>
      </w:r>
      <w:r>
        <w:rPr>
          <w:rFonts w:ascii="SimHei" w:hAnsi="SimHei" w:eastAsia="SimHei"/>
          <w:b w:val="0"/>
          <w:i w:val="0"/>
          <w:color w:val="FF0000"/>
          <w:sz w:val="22"/>
        </w:rPr>
        <w:t>launcher.bat</w:t>
      </w:r>
      <w:r>
        <w:rPr>
          <w:rFonts w:ascii="SimHei" w:hAnsi="SimHei" w:eastAsia="SimHei"/>
          <w:b w:val="0"/>
          <w:i w:val="0"/>
          <w:color w:val="000000"/>
          <w:sz w:val="22"/>
        </w:rPr>
        <w:t xml:space="preserve"> 启动脚本（**首次启动会自</w:t>
      </w:r>
      <w:r>
        <w:rPr>
          <w:rFonts w:ascii="SimHei" w:hAnsi="SimHei" w:eastAsia="SimHei"/>
          <w:b w:val="0"/>
          <w:i w:val="0"/>
          <w:color w:val="000000"/>
          <w:sz w:val="22"/>
        </w:rPr>
        <w:t>动生成带图标的桌面快捷方式「MaaBd2」，之后也可双击它启动**），设置需要执行的任务后点击「</w:t>
      </w:r>
      <w:r>
        <w:rPr>
          <w:rFonts w:ascii="SimHei" w:hAnsi="SimHei" w:eastAsia="SimHei"/>
          <w:b w:val="0"/>
          <w:i w:val="0"/>
          <w:color w:val="000000"/>
          <w:sz w:val="22"/>
        </w:rPr>
        <w:t>开始任务」即可。</w:t>
      </w:r>
    </w:p>
    <w:p>
      <w:pPr>
        <w:autoSpaceDN w:val="0"/>
        <w:autoSpaceDE w:val="0"/>
        <w:widowControl/>
        <w:spacing w:line="368" w:lineRule="exact" w:before="170" w:after="0"/>
        <w:ind w:left="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>三、任务专属前置（仅在使用对应任务时需要）</w:t>
      </w:r>
      <w:r>
        <w:br/>
      </w:r>
      <w:r>
        <w:rPr>
          <w:rFonts w:ascii="SimHei" w:hAnsi="SimHei" w:eastAsia="SimHei"/>
          <w:b w:val="0"/>
          <w:i w:val="0"/>
          <w:color w:val="000000"/>
          <w:sz w:val="22"/>
        </w:rPr>
        <w:t>6. 「资源吸收和召集」任务：进入任意剧情卡带，按「Q」或点击进入「天赋技能」配置页，将「探</w:t>
      </w:r>
      <w:r>
        <w:rPr>
          <w:rFonts w:ascii="SimHei" w:hAnsi="SimHei" w:eastAsia="SimHei"/>
          <w:b w:val="0"/>
          <w:i w:val="0"/>
          <w:color w:val="000000"/>
          <w:sz w:val="22"/>
        </w:rPr>
        <w:t>查」「吸收」「召集」「制伏」四个技能按顺序配置到 1–4 号快捷技能栏，并把该任务会进入的剧</w:t>
      </w:r>
      <w:r>
        <w:rPr>
          <w:rFonts w:ascii="SimHei" w:hAnsi="SimHei" w:eastAsia="SimHei"/>
          <w:b w:val="0"/>
          <w:i w:val="0"/>
          <w:color w:val="000000"/>
          <w:sz w:val="22"/>
        </w:rPr>
        <w:t>情卡带的传送阵全部点亮，方可启动此任务！（图示见下方图 2）</w:t>
      </w:r>
    </w:p>
    <w:p>
      <w:pPr>
        <w:autoSpaceDN w:val="0"/>
        <w:autoSpaceDE w:val="0"/>
        <w:widowControl/>
        <w:spacing w:line="368" w:lineRule="exact" w:before="170" w:after="0"/>
        <w:ind w:left="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>四、任务说明与建议</w:t>
      </w:r>
      <w:r>
        <w:br/>
      </w:r>
      <w:r>
        <w:rPr>
          <w:rFonts w:ascii="SimHei" w:hAnsi="SimHei" w:eastAsia="SimHei"/>
          <w:b w:val="0"/>
          <w:i w:val="0"/>
          <w:color w:val="000000"/>
          <w:sz w:val="22"/>
        </w:rPr>
        <w:t>7. 「分解装备+精炼」任务说明：流程为先一键强化当天「免费抽抽乐」抽出的非UR装备，脚本会勾</w:t>
      </w:r>
      <w:r>
        <w:rPr>
          <w:rFonts w:ascii="SimHei" w:hAnsi="SimHei" w:eastAsia="SimHei"/>
          <w:b w:val="0"/>
          <w:i w:val="0"/>
          <w:color w:val="000000"/>
          <w:sz w:val="22"/>
        </w:rPr>
        <w:t>选强化到指定阶段后自动分解以完成分解任务；精炼则选取第一页的任一 18 分装备精炼一次以完成</w:t>
      </w:r>
      <w:r>
        <w:rPr>
          <w:rFonts w:ascii="SimHei" w:hAnsi="SimHei" w:eastAsia="SimHei"/>
          <w:b w:val="0"/>
          <w:i w:val="0"/>
          <w:color w:val="000000"/>
          <w:sz w:val="22"/>
        </w:rPr>
        <w:t>任务。</w:t>
      </w: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2"/>
        </w:rPr>
        <w:t>8. 推荐按照「推荐的任务流程设置」（见下方图 1）图示安排任务执行顺序，以获得更顺滑的体验</w:t>
      </w:r>
      <w:r>
        <w:rPr>
          <w:rFonts w:ascii="SimHei" w:hAnsi="SimHei" w:eastAsia="SimHei"/>
          <w:b w:val="0"/>
          <w:i w:val="0"/>
          <w:color w:val="000000"/>
          <w:sz w:val="22"/>
        </w:rPr>
        <w:t>。</w:t>
      </w:r>
    </w:p>
    <w:p>
      <w:pPr>
        <w:sectPr>
          <w:pgSz w:w="11906" w:h="16838"/>
          <w:pgMar w:top="478" w:right="1058" w:bottom="186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图 1 推荐的任务流程设置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5332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332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72" w:right="1002" w:bottom="186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图 2 地图吸收召集的天赋技能配置图示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472" w:right="1002" w:bottom="186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图 3 游戏操作设置中关于方向键的设置</w:t>
      </w:r>
    </w:p>
    <w:p>
      <w:pPr>
        <w:autoSpaceDN w:val="0"/>
        <w:autoSpaceDE w:val="0"/>
        <w:widowControl/>
        <w:spacing w:line="240" w:lineRule="auto" w:before="23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97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472" w:right="1002" w:bottom="186" w:left="10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