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100"/>
      </w:pPr>
      <w:r>
        <w:t>CLIENT DISCUSSION GUIDE</w:t>
      </w:r>
    </w:p>
    <w:p>
      <w:pPr>
        <w:keepNext/>
        <w:spacing w:after="60"/>
      </w:pPr>
      <w:r>
        <w:rPr>
          <w:rFonts w:ascii="Calibri" w:hAnsi="Calibri"/>
          <w:b/>
          <w:color w:val="0B1728"/>
          <w:sz w:val="56"/>
        </w:rPr>
        <w:t>From Daily Data to Clear Action</w:t>
      </w:r>
    </w:p>
    <w:p>
      <w:pPr>
        <w:keepNext/>
        <w:spacing w:after="220"/>
      </w:pPr>
      <w:r>
        <w:rPr>
          <w:rFonts w:ascii="Calibri" w:hAnsi="Calibri"/>
          <w:color w:val="5C6878"/>
          <w:sz w:val="26"/>
        </w:rPr>
        <w:t>Smart Control Tower feature walkthrough, evidence-led indicators, and a path to team access</w:t>
      </w:r>
    </w:p>
    <w:p>
      <w:pPr>
        <w:spacing w:after="240"/>
      </w:pPr>
      <w:r>
        <w:rPr>
          <w:b/>
          <w:color w:val="0B1728"/>
        </w:rPr>
        <w:t xml:space="preserve">Purpose: </w:t>
      </w:r>
      <w:r>
        <w:t>Explain how the current prototype turns the client’s production, downtime, and rejection files into daily findings, recommended checks, and a future shared record of actions.</w:t>
      </w:r>
    </w:p>
    <w:p>
      <w:pPr>
        <w:keepLines/>
        <w:spacing w:before="100" w:after="180"/>
        <w:ind w:left="173" w:right="115"/>
        <w:shd w:fill="FCF5E1"/>
        <w:pBdr>
          <w:left w:val="single" w:sz="18" w:space="8" w:color="D4AF37"/>
        </w:pBdr>
      </w:pPr>
      <w:r>
        <w:rPr>
          <w:b/>
          <w:color w:val="0B1728"/>
        </w:rPr>
        <w:t xml:space="preserve">The requirement we are solving  </w:t>
      </w:r>
      <w:r>
        <w:t>Help the team see what changed in daily data, understand the evidence behind it, decide what to check next, and keep the decision visible until its result is verified.</w:t>
      </w:r>
    </w:p>
    <w:p>
      <w:pPr>
        <w:pStyle w:val="Heading1"/>
      </w:pPr>
      <w:r>
        <w:t>The story in one workflow</w:t>
      </w:r>
    </w:p>
    <w:p>
      <w:pPr>
        <w:spacing w:after="80" w:line="300" w:lineRule="auto"/>
        <w:ind w:left="540" w:hanging="271"/>
        <w:numPr>
          <w:ilvl w:val="0"/>
          <w:numId w:val="11"/>
        </w:numPr>
      </w:pPr>
      <w:r>
        <w:t>Upload the dated reports the team already exports.</w:t>
      </w:r>
    </w:p>
    <w:p>
      <w:pPr>
        <w:spacing w:after="80" w:line="300" w:lineRule="auto"/>
        <w:ind w:left="540" w:hanging="271"/>
        <w:numPr>
          <w:ilvl w:val="0"/>
          <w:numId w:val="11"/>
        </w:numPr>
      </w:pPr>
      <w:r>
        <w:t>Check the file period, row coverage, key fields, and where reports can be aligned.</w:t>
      </w:r>
    </w:p>
    <w:p>
      <w:pPr>
        <w:spacing w:after="80" w:line="300" w:lineRule="auto"/>
        <w:ind w:left="540" w:hanging="271"/>
        <w:numPr>
          <w:ilvl w:val="0"/>
          <w:numId w:val="11"/>
        </w:numPr>
      </w:pPr>
      <w:r>
        <w:t>Calculate indicators consistently from the source columns.</w:t>
      </w:r>
    </w:p>
    <w:p>
      <w:pPr>
        <w:spacing w:after="80" w:line="300" w:lineRule="auto"/>
        <w:ind w:left="540" w:hanging="271"/>
        <w:numPr>
          <w:ilvl w:val="0"/>
          <w:numId w:val="11"/>
        </w:numPr>
      </w:pPr>
      <w:r>
        <w:t>Show the daily or monthly pattern with its evidence and data-quality limits.</w:t>
      </w:r>
    </w:p>
    <w:p>
      <w:pPr>
        <w:spacing w:after="80" w:line="300" w:lineRule="auto"/>
        <w:ind w:left="540" w:hanging="271"/>
        <w:numPr>
          <w:ilvl w:val="0"/>
          <w:numId w:val="11"/>
        </w:numPr>
      </w:pPr>
      <w:r>
        <w:t>Ask a person to confirm whether the historical signal is still relevant and choose the next check.</w:t>
      </w:r>
    </w:p>
    <w:p>
      <w:pPr>
        <w:spacing w:after="80" w:line="300" w:lineRule="auto"/>
        <w:ind w:left="540" w:hanging="271"/>
        <w:numPr>
          <w:ilvl w:val="0"/>
          <w:numId w:val="11"/>
        </w:numPr>
      </w:pPr>
      <w:r>
        <w:t>Save the report, owner, action, and later effectiveness result in an approved shared workspace.</w:t>
      </w:r>
    </w:p>
    <w:p>
      <w:pPr/>
      <w:r>
        <w:rPr>
          <w:b/>
          <w:color w:val="0B1728"/>
        </w:rPr>
        <w:t xml:space="preserve">Core message. </w:t>
      </w:r>
      <w:r>
        <w:t>The charts are the evidence layer. The intended outcome is a repeatable loop from signal to human-checked action and follow-up.</w:t>
      </w:r>
    </w:p>
    <w:p>
      <w:pPr>
        <w:pStyle w:val="Heading1"/>
      </w:pPr>
      <w:r>
        <w:t>What is available now, and what is a next step?</w:t>
      </w:r>
    </w:p>
    <w:tbl>
      <w:tblPr>
        <w:tblW w:type="dxa" w:w="9360"/>
        <w:tblLayout w:type="fixed"/>
        <w:tblLook w:firstColumn="1" w:firstRow="1" w:lastColumn="0" w:lastRow="0" w:noHBand="0" w:noVBand="1" w:val="04A0"/>
        <w:jc w:val="left"/>
        <w:tblInd w:w="120" w:type="dxa"/>
        <w:tblCellMar>
          <w:top w:w="80" w:type="dxa"/>
          <w:bottom w:w="80" w:type="dxa"/>
          <w:start w:w="120" w:type="dxa"/>
          <w:end w:w="120" w:type="dxa"/>
          <w:top w:w="80" w:type="dxa"/>
          <w:bottom w:w="80" w:type="dxa"/>
          <w:start w:w="120" w:type="dxa"/>
          <w:end w:w="120" w:type="dxa"/>
        </w:tblCellMa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cantSplit/>
        </w:trPr>
        <w:tc>
          <w:tcPr>
            <w:tcW w:type="dxa" w:w="4680"/>
            <w:vAlign w:val="top"/>
            <w:tcMar>
              <w:top w:w="80" w:type="dxa"/>
              <w:start w:w="120" w:type="dxa"/>
              <w:bottom w:w="80" w:type="dxa"/>
              <w:end w:w="120" w:type="dxa"/>
            </w:tcMar>
            <w:shd w:fill="E8EEF5" w:val="clear"/>
          </w:tcPr>
          <w:p>
            <w:pPr>
              <w:pStyle w:val="TableHeader"/>
            </w:pPr>
            <w:r>
              <w:t>Today’s prototype</w:t>
            </w:r>
          </w:p>
        </w:tc>
        <w:tc>
          <w:tcPr>
            <w:tcW w:type="dxa" w:w="4680"/>
            <w:vAlign w:val="top"/>
            <w:tcMar>
              <w:top w:w="80" w:type="dxa"/>
              <w:start w:w="120" w:type="dxa"/>
              <w:bottom w:w="80" w:type="dxa"/>
              <w:end w:w="120" w:type="dxa"/>
            </w:tcMar>
            <w:shd w:fill="E8EEF5" w:val="clear"/>
          </w:tcPr>
          <w:p>
            <w:pPr>
              <w:pStyle w:val="TableHeader"/>
            </w:pPr>
            <w:r>
              <w:t>Team-ready next step</w:t>
            </w:r>
          </w:p>
        </w:tc>
      </w:tr>
      <w:tr>
        <w:trPr>
          <w:cantSplit/>
        </w:trPr>
        <w:tc>
          <w:tcPr>
            <w:tcW w:type="dxa" w:w="4680"/>
            <w:vAlign w:val="top"/>
            <w:tcMar>
              <w:top w:w="80" w:type="dxa"/>
              <w:start w:w="120" w:type="dxa"/>
              <w:bottom w:w="80" w:type="dxa"/>
              <w:end w:w="120" w:type="dxa"/>
            </w:tcMar>
          </w:tcPr>
          <w:p>
            <w:pPr>
              <w:pStyle w:val="TableText"/>
            </w:pPr>
            <w:r>
              <w:t>Uploads, charting, daily review, data checks, AI monthly/daily summaries, and Ask AI run in the open browser session.</w:t>
            </w:r>
          </w:p>
        </w:tc>
        <w:tc>
          <w:tcPr>
            <w:tcW w:type="dxa" w:w="4680"/>
            <w:vAlign w:val="top"/>
            <w:tcMar>
              <w:top w:w="80" w:type="dxa"/>
              <w:start w:w="120" w:type="dxa"/>
              <w:bottom w:w="80" w:type="dxa"/>
              <w:end w:w="120" w:type="dxa"/>
            </w:tcMar>
          </w:tcPr>
          <w:p>
            <w:pPr>
              <w:pStyle w:val="TableText"/>
            </w:pPr>
            <w:r>
              <w:t>A shared service with individual team sign-in, a central history, saved report versions, and an action register.</w:t>
            </w:r>
          </w:p>
        </w:tc>
      </w:tr>
      <w:tr>
        <w:trPr>
          <w:cantSplit/>
        </w:trPr>
        <w:tc>
          <w:tcPr>
            <w:tcW w:type="dxa" w:w="4680"/>
            <w:vAlign w:val="top"/>
            <w:tcMar>
              <w:top w:w="80" w:type="dxa"/>
              <w:start w:w="120" w:type="dxa"/>
              <w:bottom w:w="80" w:type="dxa"/>
              <w:end w:w="120" w:type="dxa"/>
            </w:tcMar>
          </w:tcPr>
          <w:p>
            <w:pPr>
              <w:pStyle w:val="TableText"/>
            </w:pPr>
            <w:r>
              <w:t>The current local prototype does not retain uploads after refresh/close, and it does not assign or persist actions.</w:t>
            </w:r>
          </w:p>
        </w:tc>
        <w:tc>
          <w:tcPr>
            <w:tcW w:type="dxa" w:w="4680"/>
            <w:vAlign w:val="top"/>
            <w:tcMar>
              <w:top w:w="80" w:type="dxa"/>
              <w:start w:w="120" w:type="dxa"/>
              <w:bottom w:w="80" w:type="dxa"/>
              <w:end w:w="120" w:type="dxa"/>
            </w:tcMar>
          </w:tcPr>
          <w:p>
            <w:pPr>
              <w:pStyle w:val="TableText"/>
            </w:pPr>
            <w:r>
              <w:t>Store original files and parsed rows with uploader/time/version; save evidence-linked findings and action status.</w:t>
            </w:r>
          </w:p>
        </w:tc>
      </w:tr>
      <w:tr>
        <w:trPr>
          <w:cantSplit/>
        </w:trPr>
        <w:tc>
          <w:tcPr>
            <w:tcW w:type="dxa" w:w="4680"/>
            <w:vAlign w:val="top"/>
            <w:tcMar>
              <w:top w:w="80" w:type="dxa"/>
              <w:start w:w="120" w:type="dxa"/>
              <w:bottom w:w="80" w:type="dxa"/>
              <w:end w:w="120" w:type="dxa"/>
            </w:tcMar>
          </w:tcPr>
          <w:p>
            <w:pPr>
              <w:pStyle w:val="TableText"/>
            </w:pPr>
            <w:r>
              <w:t>AI suggests checks and roles; a person still decides whether a cause is confirmed and whether to act.</w:t>
            </w:r>
          </w:p>
        </w:tc>
        <w:tc>
          <w:tcPr>
            <w:tcW w:type="dxa" w:w="4680"/>
            <w:vAlign w:val="top"/>
            <w:tcMar>
              <w:top w:w="80" w:type="dxa"/>
              <w:start w:w="120" w:type="dxa"/>
              <w:bottom w:w="80" w:type="dxa"/>
              <w:end w:w="120" w:type="dxa"/>
            </w:tcMar>
          </w:tcPr>
          <w:p>
            <w:pPr>
              <w:pStyle w:val="TableText"/>
            </w:pPr>
            <w:r>
              <w:t>Keep human confirmation, named ownership, due date, completion evidence, and effectiveness review in the workflow.</w:t>
            </w:r>
          </w:p>
        </w:tc>
      </w:tr>
    </w:tbl>
    <w:p>
      <w:pPr>
        <w:spacing w:after="20"/>
      </w:pPr>
    </w:p>
    <w:p>
      <w:pPr>
        <w:keepLines/>
        <w:spacing w:before="100" w:after="180"/>
        <w:ind w:left="173" w:right="115"/>
        <w:shd w:fill="FCF5E1"/>
        <w:pBdr>
          <w:left w:val="single" w:sz="18" w:space="8" w:color="D4AF37"/>
        </w:pBdr>
      </w:pPr>
      <w:r>
        <w:rPr>
          <w:b/>
          <w:color w:val="0B1728"/>
        </w:rPr>
        <w:t xml:space="preserve">Be clear in the meeting  </w:t>
      </w:r>
      <w:r>
        <w:t>The current prototype demonstrates the analysis workflow. Team-wide access, durable storage, sign-in, and a persistent action tracker are design/build decisions, not features to promise as already delivered.</w:t>
      </w:r>
    </w:p>
    <w:p>
      <w:pPr>
        <w:pStyle w:val="Heading1"/>
      </w:pPr>
      <w:r>
        <w:t>The available data at a glance</w:t>
      </w:r>
    </w:p>
    <w:tbl>
      <w:tblPr>
        <w:tblW w:type="dxa" w:w="9360"/>
        <w:tblLayout w:type="fixed"/>
        <w:tblLook w:firstColumn="1" w:firstRow="1" w:lastColumn="0" w:lastRow="0" w:noHBand="0" w:noVBand="1" w:val="04A0"/>
        <w:jc w:val="left"/>
        <w:tblInd w:w="120" w:type="dxa"/>
        <w:tblCellMar>
          <w:top w:w="80" w:type="dxa"/>
          <w:bottom w:w="80" w:type="dxa"/>
          <w:start w:w="120" w:type="dxa"/>
          <w:end w:w="120" w:type="dxa"/>
          <w:top w:w="80" w:type="dxa"/>
          <w:bottom w:w="80" w:type="dxa"/>
          <w:start w:w="120" w:type="dxa"/>
          <w:end w:w="120" w:type="dxa"/>
        </w:tblCellMa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2950"/>
        <w:gridCol w:w="6410"/>
      </w:tblGrid>
      <w:tr>
        <w:trPr>
          <w:cantSplit/>
          <w:tblHeader/>
          <w:cantSplit/>
        </w:trPr>
        <w:tc>
          <w:tcPr>
            <w:tcW w:type="dxa" w:w="2950"/>
            <w:vAlign w:val="top"/>
            <w:tcMar>
              <w:top w:w="80" w:type="dxa"/>
              <w:start w:w="120" w:type="dxa"/>
              <w:bottom w:w="80" w:type="dxa"/>
              <w:end w:w="120" w:type="dxa"/>
            </w:tcMar>
            <w:shd w:fill="E8EEF5" w:val="clear"/>
          </w:tcPr>
          <w:p>
            <w:pPr>
              <w:pStyle w:val="TableHeader"/>
            </w:pPr>
            <w:r>
              <w:t>Source set reviewed</w:t>
            </w:r>
          </w:p>
        </w:tc>
        <w:tc>
          <w:tcPr>
            <w:tcW w:type="dxa" w:w="6410"/>
            <w:vAlign w:val="top"/>
            <w:tcMar>
              <w:top w:w="80" w:type="dxa"/>
              <w:start w:w="120" w:type="dxa"/>
              <w:bottom w:w="80" w:type="dxa"/>
              <w:end w:w="120" w:type="dxa"/>
            </w:tcMar>
            <w:shd w:fill="E8EEF5" w:val="clear"/>
          </w:tcPr>
          <w:p>
            <w:pPr>
              <w:pStyle w:val="TableHeader"/>
            </w:pPr>
            <w:r>
              <w:t>Coverage and use</w:t>
            </w:r>
          </w:p>
        </w:tc>
      </w:tr>
      <w:tr>
        <w:trPr>
          <w:cantSplit/>
        </w:trPr>
        <w:tc>
          <w:tcPr>
            <w:tcW w:type="dxa" w:w="2950"/>
            <w:vAlign w:val="top"/>
            <w:tcMar>
              <w:top w:w="80" w:type="dxa"/>
              <w:start w:w="120" w:type="dxa"/>
              <w:bottom w:w="80" w:type="dxa"/>
              <w:end w:w="120" w:type="dxa"/>
            </w:tcMar>
          </w:tcPr>
          <w:p>
            <w:pPr>
              <w:pStyle w:val="TableText"/>
            </w:pPr>
            <w:r>
              <w:t>Rejection reports</w:t>
            </w:r>
          </w:p>
        </w:tc>
        <w:tc>
          <w:tcPr>
            <w:tcW w:type="dxa" w:w="6410"/>
            <w:vAlign w:val="top"/>
            <w:tcMar>
              <w:top w:w="80" w:type="dxa"/>
              <w:start w:w="120" w:type="dxa"/>
              <w:bottom w:w="80" w:type="dxa"/>
              <w:end w:w="120" w:type="dxa"/>
            </w:tcMar>
          </w:tcPr>
          <w:p>
            <w:pPr>
              <w:pStyle w:val="TableText"/>
            </w:pPr>
            <w:r>
              <w:t>October, November, and December 2025. Rows contain date/hour/machine/model production and rejection quantities; reasons and remarks are often blank.</w:t>
            </w:r>
          </w:p>
        </w:tc>
      </w:tr>
      <w:tr>
        <w:trPr>
          <w:cantSplit/>
        </w:trPr>
        <w:tc>
          <w:tcPr>
            <w:tcW w:type="dxa" w:w="2950"/>
            <w:vAlign w:val="top"/>
            <w:tcMar>
              <w:top w:w="80" w:type="dxa"/>
              <w:start w:w="120" w:type="dxa"/>
              <w:bottom w:w="80" w:type="dxa"/>
              <w:end w:w="120" w:type="dxa"/>
            </w:tcMar>
          </w:tcPr>
          <w:p>
            <w:pPr>
              <w:pStyle w:val="TableText"/>
            </w:pPr>
            <w:r>
              <w:t>Detailed downtime reports</w:t>
            </w:r>
          </w:p>
        </w:tc>
        <w:tc>
          <w:tcPr>
            <w:tcW w:type="dxa" w:w="6410"/>
            <w:vAlign w:val="top"/>
            <w:tcMar>
              <w:top w:w="80" w:type="dxa"/>
              <w:start w:w="120" w:type="dxa"/>
              <w:bottom w:w="80" w:type="dxa"/>
              <w:end w:w="120" w:type="dxa"/>
            </w:tcMar>
          </w:tcPr>
          <w:p>
            <w:pPr>
              <w:pStyle w:val="TableText"/>
            </w:pPr>
            <w:r>
              <w:t>November 2025 through March 2026. The November and December period overlaps the rejection history.</w:t>
            </w:r>
          </w:p>
        </w:tc>
      </w:tr>
      <w:tr>
        <w:trPr>
          <w:cantSplit/>
        </w:trPr>
        <w:tc>
          <w:tcPr>
            <w:tcW w:type="dxa" w:w="2950"/>
            <w:vAlign w:val="top"/>
            <w:tcMar>
              <w:top w:w="80" w:type="dxa"/>
              <w:start w:w="120" w:type="dxa"/>
              <w:bottom w:w="80" w:type="dxa"/>
              <w:end w:w="120" w:type="dxa"/>
            </w:tcMar>
          </w:tcPr>
          <w:p>
            <w:pPr>
              <w:pStyle w:val="TableText"/>
            </w:pPr>
            <w:r>
              <w:t>Production dashboard export</w:t>
            </w:r>
          </w:p>
        </w:tc>
        <w:tc>
          <w:tcPr>
            <w:tcW w:type="dxa" w:w="6410"/>
            <w:vAlign w:val="top"/>
            <w:tcMar>
              <w:top w:w="80" w:type="dxa"/>
              <w:start w:w="120" w:type="dxa"/>
              <w:bottom w:w="80" w:type="dxa"/>
              <w:end w:w="120" w:type="dxa"/>
            </w:tcMar>
          </w:tcPr>
          <w:p>
            <w:pPr>
              <w:pStyle w:val="TableText"/>
            </w:pPr>
            <w:r>
              <w:t>September 1–28, 2026 (500 rows). It is a separate later period and cannot be joined to the 2025 rejection/downtime history as if contemporaneous.</w:t>
            </w:r>
          </w:p>
        </w:tc>
      </w:tr>
      <w:tr>
        <w:trPr>
          <w:cantSplit/>
        </w:trPr>
        <w:tc>
          <w:tcPr>
            <w:tcW w:type="dxa" w:w="2950"/>
            <w:vAlign w:val="top"/>
            <w:tcMar>
              <w:top w:w="80" w:type="dxa"/>
              <w:start w:w="120" w:type="dxa"/>
              <w:bottom w:w="80" w:type="dxa"/>
              <w:end w:w="120" w:type="dxa"/>
            </w:tcMar>
          </w:tcPr>
          <w:p>
            <w:pPr>
              <w:pStyle w:val="TableText"/>
            </w:pPr>
            <w:r>
              <w:t>December 2025 shared period</w:t>
            </w:r>
          </w:p>
        </w:tc>
        <w:tc>
          <w:tcPr>
            <w:tcW w:type="dxa" w:w="6410"/>
            <w:vAlign w:val="top"/>
            <w:tcMar>
              <w:top w:w="80" w:type="dxa"/>
              <w:start w:w="120" w:type="dxa"/>
              <w:bottom w:w="80" w:type="dxa"/>
              <w:end w:w="120" w:type="dxa"/>
            </w:tcMar>
          </w:tcPr>
          <w:p>
            <w:pPr>
              <w:pStyle w:val="TableText"/>
            </w:pPr>
            <w:r>
              <w:t>Rejection and downtime workbooks each contain 4,292 rows across 25 dates from Dec 1–27. Matching by date, hour, machine, and model supports row-level comparison; it does not prove causation.</w:t>
            </w:r>
          </w:p>
        </w:tc>
      </w:tr>
    </w:tbl>
    <w:p>
      <w:pPr>
        <w:spacing w:after="20"/>
      </w:pPr>
    </w:p>
    <w:p>
      <w:pPr/>
      <w:r>
        <w:rPr>
          <w:b/>
          <w:color w:val="0B1728"/>
        </w:rPr>
        <w:t xml:space="preserve">Interpretation. </w:t>
      </w:r>
      <w:r>
        <w:t>The rejection and downtime files are monthly workbooks with daily/hourly rows. Daily review is possible where date-level records exist; the workbook’s month-long span does not mean every metric is only monthly.</w:t>
      </w:r>
    </w:p>
    <w:p>
      <w:r>
        <w:br w:type="page"/>
      </w:r>
    </w:p>
    <w:p>
      <w:pPr>
        <w:pStyle w:val="Heading1"/>
      </w:pPr>
      <w:r>
        <w:t>Feature-by-feature client walkthrough</w:t>
      </w:r>
    </w:p>
    <w:p>
      <w:pPr>
        <w:pStyle w:val="Heading2"/>
      </w:pPr>
      <w:r>
        <w:t>1. Report upload and file check</w:t>
      </w:r>
    </w:p>
    <w:p>
      <w:pPr/>
      <w:r>
        <w:rPr>
          <w:b/>
          <w:color w:val="0B1728"/>
        </w:rPr>
        <w:t xml:space="preserve">What it does. </w:t>
      </w:r>
      <w:r>
        <w:t>Load the production dashboard, detailed downtime report, and rejection report. The page identifies report type, date coverage, records read, and visible data checks.</w:t>
      </w:r>
    </w:p>
    <w:p>
      <w:pPr/>
      <w:r>
        <w:rPr>
          <w:b/>
          <w:color w:val="0B1728"/>
        </w:rPr>
        <w:t xml:space="preserve">Why it helps. </w:t>
      </w:r>
      <w:r>
        <w:t>The client can start with the Excel exports they already have. File coverage and schema issues are visible before interpreting a chart.</w:t>
      </w:r>
    </w:p>
    <w:p>
      <w:pPr/>
      <w:r>
        <w:rPr>
          <w:b/>
          <w:color w:val="0B1728"/>
        </w:rPr>
        <w:t xml:space="preserve">How to explain it. </w:t>
      </w:r>
      <w:r>
        <w:t>““We bring the existing reports into one review and show which dates and fields each file actually covers.””</w:t>
      </w:r>
    </w:p>
    <w:p>
      <w:pPr>
        <w:pStyle w:val="SmallNote"/>
      </w:pPr>
      <w:r>
        <w:rPr>
          <w:b/>
          <w:color w:val="0B1728"/>
        </w:rPr>
        <w:t xml:space="preserve">Boundary today. </w:t>
      </w:r>
      <w:r>
        <w:t>The upload is session-only in this prototype. A shared file archive, duplicate/version history, and persistent import log still need to be built.</w:t>
      </w:r>
    </w:p>
    <w:p>
      <w:pPr>
        <w:pStyle w:val="Heading2"/>
      </w:pPr>
      <w:r>
        <w:t>2. At a glance</w:t>
      </w:r>
    </w:p>
    <w:p>
      <w:pPr/>
      <w:r>
        <w:rPr>
          <w:b/>
          <w:color w:val="0B1728"/>
        </w:rPr>
        <w:t xml:space="preserve">What it does. </w:t>
      </w:r>
      <w:r>
        <w:t>Summarizes the production dashboard’s output and availability measures, with source notes beside the KPIs.</w:t>
      </w:r>
    </w:p>
    <w:p>
      <w:pPr/>
      <w:r>
        <w:rPr>
          <w:b/>
          <w:color w:val="0B1728"/>
        </w:rPr>
        <w:t xml:space="preserve">Why it helps. </w:t>
      </w:r>
      <w:r>
        <w:t>A reviewer can orient quickly before investigating a daily exception. It prevents a metric from being mistaken for a value from another file.</w:t>
      </w:r>
    </w:p>
    <w:p>
      <w:pPr/>
      <w:r>
        <w:rPr>
          <w:b/>
          <w:color w:val="0B1728"/>
        </w:rPr>
        <w:t xml:space="preserve">How to explain it. </w:t>
      </w:r>
      <w:r>
        <w:t>““This is the quick operating picture; each number is tied to its source and coverage.””</w:t>
      </w:r>
    </w:p>
    <w:p>
      <w:pPr>
        <w:pStyle w:val="SmallNote"/>
      </w:pPr>
      <w:r>
        <w:rPr>
          <w:b/>
          <w:color w:val="0B1728"/>
        </w:rPr>
        <w:t xml:space="preserve">Boundary today. </w:t>
      </w:r>
      <w:r>
        <w:t>The September 2026 dashboard is not the same period as the 2025 reason reports. Do not combine them into one trend.</w:t>
      </w:r>
    </w:p>
    <w:p>
      <w:pPr>
        <w:pStyle w:val="Heading2"/>
      </w:pPr>
      <w:r>
        <w:t>3. Production, downtime, and rejection trends</w:t>
      </w:r>
    </w:p>
    <w:p>
      <w:pPr/>
      <w:r>
        <w:rPr>
          <w:b/>
          <w:color w:val="0B1728"/>
        </w:rPr>
        <w:t xml:space="preserve">What it does. </w:t>
      </w:r>
      <w:r>
        <w:t>Groups dated records by day, week, or month; lets the reviewer filter dates and, where supported, choose a measure or breakdown.</w:t>
      </w:r>
    </w:p>
    <w:p>
      <w:pPr/>
      <w:r>
        <w:rPr>
          <w:b/>
          <w:color w:val="0B1728"/>
        </w:rPr>
        <w:t xml:space="preserve">Why it helps. </w:t>
      </w:r>
      <w:r>
        <w:t>A spike or repeat pattern is easier to spot and compare than scanning multiple workbooks. The date filter makes the review period explicit.</w:t>
      </w:r>
    </w:p>
    <w:p>
      <w:pPr/>
      <w:r>
        <w:rPr>
          <w:b/>
          <w:color w:val="0B1728"/>
        </w:rPr>
        <w:t xml:space="preserve">How to explain it. </w:t>
      </w:r>
      <w:r>
        <w:t>““The trend helps us find when and where to look; it does not by itself tell us why the change happened.””</w:t>
      </w:r>
    </w:p>
    <w:p>
      <w:pPr>
        <w:pStyle w:val="SmallNote"/>
      </w:pPr>
      <w:r>
        <w:rPr>
          <w:b/>
          <w:color w:val="0B1728"/>
        </w:rPr>
        <w:t xml:space="preserve">Boundary today. </w:t>
      </w:r>
      <w:r>
        <w:t>A dashboard trend is historical when the uploaded files are historical. A current condition must be checked against current data.</w:t>
      </w:r>
    </w:p>
    <w:p>
      <w:pPr>
        <w:pStyle w:val="Heading2"/>
      </w:pPr>
      <w:r>
        <w:t>4. Daily review and action suggestions</w:t>
      </w:r>
    </w:p>
    <w:p>
      <w:pPr/>
      <w:r>
        <w:rPr>
          <w:b/>
          <w:color w:val="0B1728"/>
        </w:rPr>
        <w:t xml:space="preserve">What it does. </w:t>
      </w:r>
      <w:r>
        <w:t>The reviewer selects a date to see attention items, production details, downtime details, rejection details, and a selected-day AI review.</w:t>
      </w:r>
    </w:p>
    <w:p>
      <w:pPr/>
      <w:r>
        <w:rPr>
          <w:b/>
          <w:color w:val="0B1728"/>
        </w:rPr>
        <w:t xml:space="preserve">Why it helps. </w:t>
      </w:r>
      <w:r>
        <w:t>It brings a day’s production, quality, and loss signals into one review so the team can decide the first verification step.</w:t>
      </w:r>
    </w:p>
    <w:p>
      <w:pPr/>
      <w:r>
        <w:rPr>
          <w:b/>
          <w:color w:val="0B1728"/>
        </w:rPr>
        <w:t xml:space="preserve">How to explain it. </w:t>
      </w:r>
      <w:r>
        <w:t>““For the selected date, we can move from the KPI to the machine, model, and recorded reason, then agree what to check.””</w:t>
      </w:r>
    </w:p>
    <w:p>
      <w:pPr>
        <w:pStyle w:val="SmallNote"/>
      </w:pPr>
      <w:r>
        <w:rPr>
          <w:b/>
          <w:color w:val="0B1728"/>
        </w:rPr>
        <w:t xml:space="preserve">Boundary today. </w:t>
      </w:r>
      <w:r>
        <w:t>AI recommendations are suggestions. The prototype does not assign a named owner, create a due date, or save completion status.</w:t>
      </w:r>
    </w:p>
    <w:p>
      <w:pPr>
        <w:pStyle w:val="Heading2"/>
      </w:pPr>
      <w:r>
        <w:t>5. Rejection reason and rate view</w:t>
      </w:r>
    </w:p>
    <w:p>
      <w:pPr/>
      <w:r>
        <w:rPr>
          <w:b/>
          <w:color w:val="0B1728"/>
        </w:rPr>
        <w:t xml:space="preserve">What it does. </w:t>
      </w:r>
      <w:r>
        <w:t>Calculates rejection rate as total Rejection Qty divided by total Production in the rejection report; charts recorded rejection labels and machine/model totals.</w:t>
      </w:r>
    </w:p>
    <w:p>
      <w:pPr/>
      <w:r>
        <w:rPr>
          <w:b/>
          <w:color w:val="0B1728"/>
        </w:rPr>
        <w:t xml:space="preserve">Why it helps. </w:t>
      </w:r>
      <w:r>
        <w:t>The team can see rate movement and where recorded rejects are concentrated. This uses the rejection report’s own production denominator.</w:t>
      </w:r>
    </w:p>
    <w:p>
      <w:pPr/>
      <w:r>
        <w:rPr>
          <w:b/>
          <w:color w:val="0B1728"/>
        </w:rPr>
        <w:t xml:space="preserve">How to explain it. </w:t>
      </w:r>
      <w:r>
        <w:t>““We can show the rate from the rejection file and how much reason information is actually present.””</w:t>
      </w:r>
    </w:p>
    <w:p>
      <w:pPr>
        <w:pStyle w:val="SmallNote"/>
      </w:pPr>
      <w:r>
        <w:rPr>
          <w:b/>
          <w:color w:val="0B1728"/>
        </w:rPr>
        <w:t xml:space="preserve">Boundary today. </w:t>
      </w:r>
      <w:r>
        <w:t>Only 3.1% of December rejection rows contain a reason. A top reason describes labeled rows, not necessarily the full month’s quality loss.</w:t>
      </w:r>
    </w:p>
    <w:p>
      <w:pPr>
        <w:pStyle w:val="Heading2"/>
      </w:pPr>
      <w:r>
        <w:t>6. Downtime detail and report matching</w:t>
      </w:r>
    </w:p>
    <w:p>
      <w:pPr/>
      <w:r>
        <w:rPr>
          <w:b/>
          <w:color w:val="0B1728"/>
        </w:rPr>
        <w:t xml:space="preserve">What it does. </w:t>
      </w:r>
      <w:r>
        <w:t>Ranks reported downtime reasons and machine/model values, and checks overlap with rejection rows by date, hour, machine, and model.</w:t>
      </w:r>
    </w:p>
    <w:p>
      <w:pPr/>
      <w:r>
        <w:rPr>
          <w:b/>
          <w:color w:val="0B1728"/>
        </w:rPr>
        <w:t xml:space="preserve">Why it helps. </w:t>
      </w:r>
      <w:r>
        <w:t>A matching row gives the team a way to inspect the same time/machine context across the two reports.</w:t>
      </w:r>
    </w:p>
    <w:p>
      <w:pPr/>
      <w:r>
        <w:rPr>
          <w:b/>
          <w:color w:val="0B1728"/>
        </w:rPr>
        <w:t xml:space="preserve">How to explain it. </w:t>
      </w:r>
      <w:r>
        <w:t>““A match lets us investigate the same event window; it is a lead for review, not proof that downtime caused rejection.””</w:t>
      </w:r>
    </w:p>
    <w:p>
      <w:pPr>
        <w:pStyle w:val="SmallNote"/>
      </w:pPr>
      <w:r>
        <w:rPr>
          <w:b/>
          <w:color w:val="0B1728"/>
        </w:rPr>
        <w:t xml:space="preserve">Boundary today. </w:t>
      </w:r>
      <w:r>
        <w:t>Downtime reason is populated on 18.9% of December rows. Total, planned, and unplanned values are separate reported measures and can fail arithmetic reconciliation.</w:t>
      </w:r>
    </w:p>
    <w:p>
      <w:pPr>
        <w:pStyle w:val="Heading2"/>
      </w:pPr>
      <w:r>
        <w:t>7. Monthly and daily AI insights</w:t>
      </w:r>
    </w:p>
    <w:p>
      <w:pPr/>
      <w:r>
        <w:rPr>
          <w:b/>
          <w:color w:val="0B1728"/>
        </w:rPr>
        <w:t xml:space="preserve">What it does. </w:t>
      </w:r>
      <w:r>
        <w:t>When opened, the AI tab requests a month-level evidence summary; the user can select a day and explicitly generate that day’s review and suggested actions.</w:t>
      </w:r>
    </w:p>
    <w:p>
      <w:pPr/>
      <w:r>
        <w:rPr>
          <w:b/>
          <w:color w:val="0B1728"/>
        </w:rPr>
        <w:t xml:space="preserve">Why it helps. </w:t>
      </w:r>
      <w:r>
        <w:t>The monthly view gives context; the daily view focuses the follow-up. Both can return short findings and suggested checks from calculated data.</w:t>
      </w:r>
    </w:p>
    <w:p>
      <w:pPr/>
      <w:r>
        <w:rPr>
          <w:b/>
          <w:color w:val="0B1728"/>
        </w:rPr>
        <w:t xml:space="preserve">How to explain it. </w:t>
      </w:r>
      <w:r>
        <w:t>““AI helps phrase the evidence and propose a first check. The team confirms the facts and decides the action.””</w:t>
      </w:r>
    </w:p>
    <w:p>
      <w:pPr>
        <w:pStyle w:val="SmallNote"/>
      </w:pPr>
      <w:r>
        <w:rPr>
          <w:b/>
          <w:color w:val="0B1728"/>
        </w:rPr>
        <w:t xml:space="preserve">Boundary today. </w:t>
      </w:r>
      <w:r>
        <w:t>This is LLM-generated narration, not a trained predictive model. It must keep the selected date/month scope, mark missing data, and avoid inventing targets or causes.</w:t>
      </w:r>
    </w:p>
    <w:p>
      <w:pPr>
        <w:pStyle w:val="Heading2"/>
      </w:pPr>
      <w:r>
        <w:t>8. Ask AI</w:t>
      </w:r>
    </w:p>
    <w:p>
      <w:pPr/>
      <w:r>
        <w:rPr>
          <w:b/>
          <w:color w:val="0B1728"/>
        </w:rPr>
        <w:t xml:space="preserve">What it does. </w:t>
      </w:r>
      <w:r>
        <w:t>Lets a reviewer ask a question about the uploaded summaries and selected dashboard context.</w:t>
      </w:r>
    </w:p>
    <w:p>
      <w:pPr/>
      <w:r>
        <w:rPr>
          <w:b/>
          <w:color w:val="0B1728"/>
        </w:rPr>
        <w:t xml:space="preserve">Why it helps. </w:t>
      </w:r>
      <w:r>
        <w:t>It lowers the effort to investigate a machine, time window, or repeated pattern without manually filtering each sheet.</w:t>
      </w:r>
    </w:p>
    <w:p>
      <w:pPr/>
      <w:r>
        <w:rPr>
          <w:b/>
          <w:color w:val="0B1728"/>
        </w:rPr>
        <w:t xml:space="preserve">How to explain it. </w:t>
      </w:r>
      <w:r>
        <w:t>““You can ask a follow-up question, then trace the answer back to the reports and calculated measures.””</w:t>
      </w:r>
    </w:p>
    <w:p>
      <w:pPr>
        <w:pStyle w:val="SmallNote"/>
      </w:pPr>
      <w:r>
        <w:rPr>
          <w:b/>
          <w:color w:val="0B1728"/>
        </w:rPr>
        <w:t xml:space="preserve">Boundary today. </w:t>
      </w:r>
      <w:r>
        <w:t>Only approved summaries should be sent to the configured provider. Provider, retention, and company approval need confirmation before a team rollout.</w:t>
      </w:r>
    </w:p>
    <w:p>
      <w:r>
        <w:br w:type="page"/>
      </w:r>
    </w:p>
    <w:p>
      <w:pPr>
        <w:pStyle w:val="Heading1"/>
      </w:pPr>
      <w:r>
        <w:t>Indicators we can support from the shared files</w:t>
      </w:r>
    </w:p>
    <w:p>
      <w:pPr>
        <w:pStyle w:val="SmallNote"/>
      </w:pPr>
      <w:r>
        <w:t>Use these as evidence points, not as client-approved targets. The definitions below use only fields in the reviewed workbooks.</w:t>
      </w:r>
    </w:p>
    <w:tbl>
      <w:tblPr>
        <w:tblW w:type="dxa" w:w="9360"/>
        <w:tblLayout w:type="fixed"/>
        <w:tblLook w:firstColumn="1" w:firstRow="1" w:lastColumn="0" w:lastRow="0" w:noHBand="0" w:noVBand="1" w:val="04A0"/>
        <w:jc w:val="left"/>
        <w:tblInd w:w="120" w:type="dxa"/>
        <w:tblCellMar>
          <w:top w:w="80" w:type="dxa"/>
          <w:bottom w:w="80" w:type="dxa"/>
          <w:start w:w="120" w:type="dxa"/>
          <w:end w:w="120" w:type="dxa"/>
          <w:top w:w="80" w:type="dxa"/>
          <w:bottom w:w="80" w:type="dxa"/>
          <w:start w:w="120" w:type="dxa"/>
          <w:end w:w="120" w:type="dxa"/>
        </w:tblCellMa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1850"/>
        <w:gridCol w:w="3900"/>
        <w:gridCol w:w="3610"/>
      </w:tblGrid>
      <w:tr>
        <w:trPr>
          <w:cantSplit/>
          <w:tblHeader/>
          <w:cantSplit/>
        </w:trPr>
        <w:tc>
          <w:tcPr>
            <w:tcW w:type="dxa" w:w="1850"/>
            <w:vAlign w:val="top"/>
            <w:tcMar>
              <w:top w:w="80" w:type="dxa"/>
              <w:start w:w="120" w:type="dxa"/>
              <w:bottom w:w="80" w:type="dxa"/>
              <w:end w:w="120" w:type="dxa"/>
            </w:tcMar>
            <w:shd w:fill="E8EEF5" w:val="clear"/>
          </w:tcPr>
          <w:p>
            <w:pPr>
              <w:pStyle w:val="TableHeader"/>
            </w:pPr>
            <w:r>
              <w:t>Indicator</w:t>
            </w:r>
          </w:p>
        </w:tc>
        <w:tc>
          <w:tcPr>
            <w:tcW w:type="dxa" w:w="3900"/>
            <w:vAlign w:val="top"/>
            <w:tcMar>
              <w:top w:w="80" w:type="dxa"/>
              <w:start w:w="120" w:type="dxa"/>
              <w:bottom w:w="80" w:type="dxa"/>
              <w:end w:w="120" w:type="dxa"/>
            </w:tcMar>
            <w:shd w:fill="E8EEF5" w:val="clear"/>
          </w:tcPr>
          <w:p>
            <w:pPr>
              <w:pStyle w:val="TableHeader"/>
            </w:pPr>
            <w:r>
              <w:t>Data-based example</w:t>
            </w:r>
          </w:p>
        </w:tc>
        <w:tc>
          <w:tcPr>
            <w:tcW w:type="dxa" w:w="3610"/>
            <w:vAlign w:val="top"/>
            <w:tcMar>
              <w:top w:w="80" w:type="dxa"/>
              <w:start w:w="120" w:type="dxa"/>
              <w:bottom w:w="80" w:type="dxa"/>
              <w:end w:w="120" w:type="dxa"/>
            </w:tcMar>
            <w:shd w:fill="E8EEF5" w:val="clear"/>
          </w:tcPr>
          <w:p>
            <w:pPr>
              <w:pStyle w:val="TableHeader"/>
            </w:pPr>
            <w:r>
              <w:t>How to present it</w:t>
            </w:r>
          </w:p>
        </w:tc>
      </w:tr>
      <w:tr>
        <w:trPr>
          <w:cantSplit/>
        </w:trPr>
        <w:tc>
          <w:tcPr>
            <w:tcW w:type="dxa" w:w="1850"/>
            <w:vAlign w:val="top"/>
            <w:tcMar>
              <w:top w:w="80" w:type="dxa"/>
              <w:start w:w="120" w:type="dxa"/>
              <w:bottom w:w="80" w:type="dxa"/>
              <w:end w:w="120" w:type="dxa"/>
            </w:tcMar>
          </w:tcPr>
          <w:p>
            <w:pPr>
              <w:pStyle w:val="TableText"/>
            </w:pPr>
            <w:r>
              <w:t>Rejection rate</w:t>
            </w:r>
          </w:p>
        </w:tc>
        <w:tc>
          <w:tcPr>
            <w:tcW w:type="dxa" w:w="3900"/>
            <w:vAlign w:val="top"/>
            <w:tcMar>
              <w:top w:w="80" w:type="dxa"/>
              <w:start w:w="120" w:type="dxa"/>
              <w:bottom w:w="80" w:type="dxa"/>
              <w:end w:w="120" w:type="dxa"/>
            </w:tcMar>
          </w:tcPr>
          <w:p>
            <w:pPr>
              <w:pStyle w:val="TableText"/>
            </w:pPr>
            <w:r>
              <w:t>December: 835 rejected pieces / 868,049 production = 0.0962%, shown as 0.10% to one decimal place.</w:t>
            </w:r>
          </w:p>
        </w:tc>
        <w:tc>
          <w:tcPr>
            <w:tcW w:type="dxa" w:w="3610"/>
            <w:vAlign w:val="top"/>
            <w:tcMar>
              <w:top w:w="80" w:type="dxa"/>
              <w:start w:w="120" w:type="dxa"/>
              <w:bottom w:w="80" w:type="dxa"/>
              <w:end w:w="120" w:type="dxa"/>
            </w:tcMar>
          </w:tcPr>
          <w:p>
            <w:pPr>
              <w:pStyle w:val="TableText"/>
            </w:pPr>
            <w:r>
              <w:t>Weighted rate from summed quantities in the rejection report; not an average of row rates. The production dashboard was not available for this period.</w:t>
            </w:r>
          </w:p>
        </w:tc>
      </w:tr>
      <w:tr>
        <w:trPr>
          <w:cantSplit/>
        </w:trPr>
        <w:tc>
          <w:tcPr>
            <w:tcW w:type="dxa" w:w="1850"/>
            <w:vAlign w:val="top"/>
            <w:tcMar>
              <w:top w:w="80" w:type="dxa"/>
              <w:start w:w="120" w:type="dxa"/>
              <w:bottom w:w="80" w:type="dxa"/>
              <w:end w:w="120" w:type="dxa"/>
            </w:tcMar>
          </w:tcPr>
          <w:p>
            <w:pPr>
              <w:pStyle w:val="TableText"/>
            </w:pPr>
            <w:r>
              <w:t>Daily rejection spike</w:t>
            </w:r>
          </w:p>
        </w:tc>
        <w:tc>
          <w:tcPr>
            <w:tcW w:type="dxa" w:w="3900"/>
            <w:vAlign w:val="top"/>
            <w:tcMar>
              <w:top w:w="80" w:type="dxa"/>
              <w:start w:w="120" w:type="dxa"/>
              <w:bottom w:w="80" w:type="dxa"/>
              <w:end w:w="120" w:type="dxa"/>
            </w:tcMar>
          </w:tcPr>
          <w:p>
            <w:pPr>
              <w:pStyle w:val="TableText"/>
            </w:pPr>
            <w:r>
              <w:t>Dec 1: 20 / 18,131 = 0.1103%. Dec 4: 419 / 82,277 = 0.5093%.</w:t>
            </w:r>
          </w:p>
        </w:tc>
        <w:tc>
          <w:tcPr>
            <w:tcW w:type="dxa" w:w="3610"/>
            <w:vAlign w:val="top"/>
            <w:tcMar>
              <w:top w:w="80" w:type="dxa"/>
              <w:start w:w="120" w:type="dxa"/>
              <w:bottom w:w="80" w:type="dxa"/>
              <w:end w:w="120" w:type="dxa"/>
            </w:tcMar>
          </w:tcPr>
          <w:p>
            <w:pPr>
              <w:pStyle w:val="TableText"/>
            </w:pPr>
            <w:r>
              <w:t>Compare these dates with surrounding days and an agreed operating threshold. The files do not supply an approved acceptable rate.</w:t>
            </w:r>
          </w:p>
        </w:tc>
      </w:tr>
      <w:tr>
        <w:trPr>
          <w:cantSplit/>
        </w:trPr>
        <w:tc>
          <w:tcPr>
            <w:tcW w:type="dxa" w:w="1850"/>
            <w:vAlign w:val="top"/>
            <w:tcMar>
              <w:top w:w="80" w:type="dxa"/>
              <w:start w:w="120" w:type="dxa"/>
              <w:bottom w:w="80" w:type="dxa"/>
              <w:end w:w="120" w:type="dxa"/>
            </w:tcMar>
          </w:tcPr>
          <w:p>
            <w:pPr>
              <w:pStyle w:val="TableText"/>
            </w:pPr>
            <w:r>
              <w:t>Reported downtime</w:t>
            </w:r>
          </w:p>
        </w:tc>
        <w:tc>
          <w:tcPr>
            <w:tcW w:type="dxa" w:w="3900"/>
            <w:vAlign w:val="top"/>
            <w:tcMar>
              <w:top w:w="80" w:type="dxa"/>
              <w:start w:w="120" w:type="dxa"/>
              <w:bottom w:w="80" w:type="dxa"/>
              <w:end w:w="120" w:type="dxa"/>
            </w:tcMar>
          </w:tcPr>
          <w:p>
            <w:pPr>
              <w:pStyle w:val="TableText"/>
            </w:pPr>
            <w:r>
              <w:t>Dec 1: 1,314 total minutes and 798 unplanned. Dec 4: 5,240 total and 321 unplanned.</w:t>
            </w:r>
          </w:p>
        </w:tc>
        <w:tc>
          <w:tcPr>
            <w:tcW w:type="dxa" w:w="3610"/>
            <w:vAlign w:val="top"/>
            <w:tcMar>
              <w:top w:w="80" w:type="dxa"/>
              <w:start w:w="120" w:type="dxa"/>
              <w:bottom w:w="80" w:type="dxa"/>
              <w:end w:w="120" w:type="dxa"/>
            </w:tcMar>
          </w:tcPr>
          <w:p>
            <w:pPr>
              <w:pStyle w:val="TableText"/>
            </w:pPr>
            <w:r>
              <w:t>Show source fields separately. Planned + unplanned may not equal reported total; validate definitions before using shares or combining measures.</w:t>
            </w:r>
          </w:p>
        </w:tc>
      </w:tr>
      <w:tr>
        <w:trPr>
          <w:cantSplit/>
        </w:trPr>
        <w:tc>
          <w:tcPr>
            <w:tcW w:type="dxa" w:w="1850"/>
            <w:vAlign w:val="top"/>
            <w:tcMar>
              <w:top w:w="80" w:type="dxa"/>
              <w:start w:w="120" w:type="dxa"/>
              <w:bottom w:w="80" w:type="dxa"/>
              <w:end w:w="120" w:type="dxa"/>
            </w:tcMar>
          </w:tcPr>
          <w:p>
            <w:pPr>
              <w:pStyle w:val="TableText"/>
            </w:pPr>
            <w:r>
              <w:t>Reason completeness</w:t>
            </w:r>
          </w:p>
        </w:tc>
        <w:tc>
          <w:tcPr>
            <w:tcW w:type="dxa" w:w="3900"/>
            <w:vAlign w:val="top"/>
            <w:tcMar>
              <w:top w:w="80" w:type="dxa"/>
              <w:start w:w="120" w:type="dxa"/>
              <w:bottom w:w="80" w:type="dxa"/>
              <w:end w:w="120" w:type="dxa"/>
            </w:tcMar>
          </w:tcPr>
          <w:p>
            <w:pPr>
              <w:pStyle w:val="TableText"/>
            </w:pPr>
            <w:r>
              <w:t>December rejection reason: 131/4,292 rows (3.1%). Downtime reason: 810/4,292 (18.9%).</w:t>
            </w:r>
          </w:p>
        </w:tc>
        <w:tc>
          <w:tcPr>
            <w:tcW w:type="dxa" w:w="3610"/>
            <w:vAlign w:val="top"/>
            <w:tcMar>
              <w:top w:w="80" w:type="dxa"/>
              <w:start w:w="120" w:type="dxa"/>
              <w:bottom w:w="80" w:type="dxa"/>
              <w:end w:w="120" w:type="dxa"/>
            </w:tcMar>
          </w:tcPr>
          <w:p>
            <w:pPr>
              <w:pStyle w:val="TableText"/>
            </w:pPr>
            <w:r>
              <w:t>Make coverage visible next to every reason ranking. “Damage” (446 rejected pieces in labeled rows) is a recorded category, not a month-wide root cause.</w:t>
            </w:r>
          </w:p>
        </w:tc>
      </w:tr>
      <w:tr>
        <w:trPr>
          <w:cantSplit/>
        </w:trPr>
        <w:tc>
          <w:tcPr>
            <w:tcW w:type="dxa" w:w="1850"/>
            <w:vAlign w:val="top"/>
            <w:tcMar>
              <w:top w:w="80" w:type="dxa"/>
              <w:start w:w="120" w:type="dxa"/>
              <w:bottom w:w="80" w:type="dxa"/>
              <w:end w:w="120" w:type="dxa"/>
            </w:tcMar>
          </w:tcPr>
          <w:p>
            <w:pPr>
              <w:pStyle w:val="TableText"/>
            </w:pPr>
            <w:r>
              <w:t>Availability and output (separate period)</w:t>
            </w:r>
          </w:p>
        </w:tc>
        <w:tc>
          <w:tcPr>
            <w:tcW w:type="dxa" w:w="3900"/>
            <w:vAlign w:val="top"/>
            <w:tcMar>
              <w:top w:w="80" w:type="dxa"/>
              <w:start w:w="120" w:type="dxa"/>
              <w:bottom w:w="80" w:type="dxa"/>
              <w:end w:w="120" w:type="dxa"/>
            </w:tcMar>
          </w:tcPr>
          <w:p>
            <w:pPr>
              <w:pStyle w:val="TableText"/>
            </w:pPr>
            <w:r>
              <w:t>Sep 1–28, 2026 dashboard: 787,413 actual vs 1,412,542 planned (55.7% attainment), 67.8% availability, 62,640 reported downtime minutes.</w:t>
            </w:r>
          </w:p>
        </w:tc>
        <w:tc>
          <w:tcPr>
            <w:tcW w:type="dxa" w:w="3610"/>
            <w:vAlign w:val="top"/>
            <w:tcMar>
              <w:top w:w="80" w:type="dxa"/>
              <w:start w:w="120" w:type="dxa"/>
              <w:bottom w:w="80" w:type="dxa"/>
              <w:end w:w="120" w:type="dxa"/>
            </w:tcMar>
          </w:tcPr>
          <w:p>
            <w:pPr>
              <w:pStyle w:val="TableText"/>
            </w:pPr>
            <w:r>
              <w:t>Useful as a separate dashboard period. Do not join these 2026 values to the 2025 rejection/downtime reason reports.</w:t>
            </w:r>
          </w:p>
        </w:tc>
      </w:tr>
    </w:tbl>
    <w:p>
      <w:pPr>
        <w:spacing w:after="20"/>
      </w:pPr>
    </w:p>
    <w:p>
      <w:pPr>
        <w:keepLines/>
        <w:spacing w:before="100" w:after="180"/>
        <w:ind w:left="173" w:right="115"/>
        <w:shd w:fill="FCF5E1"/>
        <w:pBdr>
          <w:left w:val="single" w:sz="18" w:space="8" w:color="D4AF37"/>
        </w:pBdr>
      </w:pPr>
      <w:r>
        <w:rPr>
          <w:b/>
          <w:color w:val="0B1728"/>
        </w:rPr>
        <w:t xml:space="preserve">One strong, honest data insight  </w:t>
      </w:r>
      <w:r>
        <w:t>The shared reports support daily/hourly comparisons and a calculated rejection rate, but reason coverage is too low to make a confident month-wide reason claim. Improving reason capture is itself a practical action.</w:t>
      </w:r>
    </w:p>
    <w:p>
      <w:pPr>
        <w:pStyle w:val="Heading1"/>
      </w:pPr>
      <w:r>
        <w:t>What the data says about actionability</w:t>
      </w:r>
    </w:p>
    <w:p>
      <w:pPr/>
      <w:r>
        <w:rPr>
          <w:b/>
          <w:color w:val="0B1728"/>
        </w:rPr>
        <w:t xml:space="preserve">Strongest current actions. </w:t>
      </w:r>
      <w:r>
        <w:t>Validate the mismatch between total and planned/unplanned downtime; improve completeness and consistency of rejection and downtime reason codes; and review the Dec 4 rejection spike against nearby dates and the original logs.</w:t>
      </w:r>
    </w:p>
    <w:p>
      <w:pPr/>
      <w:r>
        <w:rPr>
          <w:b/>
          <w:color w:val="0B1728"/>
        </w:rPr>
        <w:t xml:space="preserve">What is not established. </w:t>
      </w:r>
      <w:r>
        <w:t>The files do not identify a confirmed root cause, an approved rejection threshold, a named action owner, or whether a historical pattern is still occurring today. Those need client confirmation.</w:t>
      </w:r>
    </w:p>
    <w:p>
      <w:pPr/>
      <w:r>
        <w:rPr>
          <w:b/>
          <w:color w:val="0B1728"/>
        </w:rPr>
        <w:t xml:space="preserve">Reason labels. </w:t>
      </w:r>
      <w:r>
        <w:t>A reason ranking should be worded “among records with a reason entered.” December’s Damage count of 446 is based on labeled rows; 96.9% of rejection rows lack a reason entry.</w:t>
      </w:r>
    </w:p>
    <w:p>
      <w:pPr/>
      <w:r>
        <w:rPr>
          <w:b/>
          <w:color w:val="0B1728"/>
        </w:rPr>
        <w:t xml:space="preserve">Downtime totals. </w:t>
      </w:r>
      <w:r>
        <w:t>Do not add or reconcile source downtime fields silently. Present each reported measure and flag rows where total differs from planned plus unplanned until the client confirms definitions.</w:t>
      </w:r>
    </w:p>
    <w:p>
      <w:pPr>
        <w:pStyle w:val="Heading2"/>
      </w:pPr>
      <w:r>
        <w:t>Example: explain the December 4 signal</w:t>
      </w:r>
    </w:p>
    <w:p>
      <w:pPr>
        <w:keepLines/>
        <w:spacing w:before="100" w:after="180"/>
        <w:ind w:left="173" w:right="115"/>
        <w:shd w:fill="FCF5E1"/>
        <w:pBdr>
          <w:left w:val="single" w:sz="18" w:space="8" w:color="D4AF37"/>
        </w:pBdr>
      </w:pPr>
      <w:r>
        <w:rPr>
          <w:b/>
          <w:color w:val="0B1728"/>
        </w:rPr>
        <w:t xml:space="preserve">Observed from source rows  </w:t>
      </w:r>
      <w:r>
        <w:t>On Dec 4, the rejection report records 419 rejected pieces from 82,277 production (0.5093%). The downtime report records 5,240 total minutes and 321 unplanned minutes for that date. These are same-day observations; they do not prove downtime caused rejection.</w:t>
      </w:r>
    </w:p>
    <w:p>
      <w:pPr>
        <w:spacing w:after="80" w:line="300" w:lineRule="auto"/>
        <w:ind w:left="540" w:hanging="271"/>
        <w:numPr>
          <w:ilvl w:val="0"/>
          <w:numId w:val="10"/>
        </w:numPr>
      </w:pPr>
      <w:r>
        <w:t>First check: confirm the daily totals against each source sheet and check the downtime field reconciliation.</w:t>
      </w:r>
    </w:p>
    <w:p>
      <w:pPr>
        <w:spacing w:after="80" w:line="300" w:lineRule="auto"/>
        <w:ind w:left="540" w:hanging="271"/>
        <w:numPr>
          <w:ilvl w:val="0"/>
          <w:numId w:val="10"/>
        </w:numPr>
      </w:pPr>
      <w:r>
        <w:t>Next check: review adjacent dates, machine/model breakdowns, and any available production or maintenance logs for the same window.</w:t>
      </w:r>
    </w:p>
    <w:p>
      <w:pPr>
        <w:spacing w:after="80" w:line="300" w:lineRule="auto"/>
        <w:ind w:left="540" w:hanging="271"/>
        <w:numPr>
          <w:ilvl w:val="0"/>
          <w:numId w:val="10"/>
        </w:numPr>
      </w:pPr>
      <w:r>
        <w:t>Action: the client assigns a responsible role and agrees a follow-up measure. Use an approved target if one exists; otherwise agree a baseline/threshold before judging success.</w:t>
      </w:r>
    </w:p>
    <w:p>
      <w:r>
        <w:br w:type="page"/>
      </w:r>
    </w:p>
    <w:p>
      <w:pPr>
        <w:pStyle w:val="Heading1"/>
      </w:pPr>
      <w:r>
        <w:t>From insight to a shareable, trackable action</w:t>
      </w:r>
    </w:p>
    <w:tbl>
      <w:tblPr>
        <w:tblW w:type="dxa" w:w="9360"/>
        <w:tblLayout w:type="fixed"/>
        <w:tblLook w:firstColumn="1" w:firstRow="1" w:lastColumn="0" w:lastRow="0" w:noHBand="0" w:noVBand="1" w:val="04A0"/>
        <w:jc w:val="left"/>
        <w:tblInd w:w="120" w:type="dxa"/>
        <w:tblCellMar>
          <w:top w:w="80" w:type="dxa"/>
          <w:bottom w:w="80" w:type="dxa"/>
          <w:start w:w="120" w:type="dxa"/>
          <w:end w:w="120" w:type="dxa"/>
          <w:top w:w="80" w:type="dxa"/>
          <w:bottom w:w="80" w:type="dxa"/>
          <w:start w:w="120" w:type="dxa"/>
          <w:end w:w="120" w:type="dxa"/>
        </w:tblCellMa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1500"/>
        <w:gridCol w:w="4050"/>
        <w:gridCol w:w="3810"/>
      </w:tblGrid>
      <w:tr>
        <w:trPr>
          <w:cantSplit/>
          <w:tblHeader/>
          <w:cantSplit/>
        </w:trPr>
        <w:tc>
          <w:tcPr>
            <w:tcW w:type="dxa" w:w="1500"/>
            <w:vAlign w:val="top"/>
            <w:tcMar>
              <w:top w:w="80" w:type="dxa"/>
              <w:start w:w="120" w:type="dxa"/>
              <w:bottom w:w="80" w:type="dxa"/>
              <w:end w:w="120" w:type="dxa"/>
            </w:tcMar>
            <w:shd w:fill="E8EEF5" w:val="clear"/>
          </w:tcPr>
          <w:p>
            <w:pPr>
              <w:pStyle w:val="TableHeader"/>
            </w:pPr>
            <w:r>
              <w:t>Step</w:t>
            </w:r>
          </w:p>
        </w:tc>
        <w:tc>
          <w:tcPr>
            <w:tcW w:type="dxa" w:w="4050"/>
            <w:vAlign w:val="top"/>
            <w:tcMar>
              <w:top w:w="80" w:type="dxa"/>
              <w:start w:w="120" w:type="dxa"/>
              <w:bottom w:w="80" w:type="dxa"/>
              <w:end w:w="120" w:type="dxa"/>
            </w:tcMar>
            <w:shd w:fill="E8EEF5" w:val="clear"/>
          </w:tcPr>
          <w:p>
            <w:pPr>
              <w:pStyle w:val="TableHeader"/>
            </w:pPr>
            <w:r>
              <w:t>Team behavior</w:t>
            </w:r>
          </w:p>
        </w:tc>
        <w:tc>
          <w:tcPr>
            <w:tcW w:type="dxa" w:w="3810"/>
            <w:vAlign w:val="top"/>
            <w:tcMar>
              <w:top w:w="80" w:type="dxa"/>
              <w:start w:w="120" w:type="dxa"/>
              <w:bottom w:w="80" w:type="dxa"/>
              <w:end w:w="120" w:type="dxa"/>
            </w:tcMar>
            <w:shd w:fill="E8EEF5" w:val="clear"/>
          </w:tcPr>
          <w:p>
            <w:pPr>
              <w:pStyle w:val="TableHeader"/>
            </w:pPr>
            <w:r>
              <w:t>Record to retain</w:t>
            </w:r>
          </w:p>
        </w:tc>
      </w:tr>
      <w:tr>
        <w:trPr>
          <w:cantSplit/>
        </w:trPr>
        <w:tc>
          <w:tcPr>
            <w:tcW w:type="dxa" w:w="1500"/>
            <w:vAlign w:val="top"/>
            <w:tcMar>
              <w:top w:w="80" w:type="dxa"/>
              <w:start w:w="120" w:type="dxa"/>
              <w:bottom w:w="80" w:type="dxa"/>
              <w:end w:w="120" w:type="dxa"/>
            </w:tcMar>
          </w:tcPr>
          <w:p>
            <w:pPr>
              <w:pStyle w:val="TableText"/>
            </w:pPr>
            <w:r>
              <w:t>1. Detect</w:t>
            </w:r>
          </w:p>
        </w:tc>
        <w:tc>
          <w:tcPr>
            <w:tcW w:type="dxa" w:w="4050"/>
            <w:vAlign w:val="top"/>
            <w:tcMar>
              <w:top w:w="80" w:type="dxa"/>
              <w:start w:w="120" w:type="dxa"/>
              <w:bottom w:w="80" w:type="dxa"/>
              <w:end w:w="120" w:type="dxa"/>
            </w:tcMar>
          </w:tcPr>
          <w:p>
            <w:pPr>
              <w:pStyle w:val="TableText"/>
            </w:pPr>
            <w:r>
              <w:t>Dashboard highlights an unusual rate, downtime level, or repeat pattern.</w:t>
            </w:r>
          </w:p>
        </w:tc>
        <w:tc>
          <w:tcPr>
            <w:tcW w:type="dxa" w:w="3810"/>
            <w:vAlign w:val="top"/>
            <w:tcMar>
              <w:top w:w="80" w:type="dxa"/>
              <w:start w:w="120" w:type="dxa"/>
              <w:bottom w:w="80" w:type="dxa"/>
              <w:end w:w="120" w:type="dxa"/>
            </w:tcMar>
          </w:tcPr>
          <w:p>
            <w:pPr>
              <w:pStyle w:val="TableText"/>
            </w:pPr>
            <w:r>
              <w:t>Date window, filter, KPI definition, source rows.</w:t>
            </w:r>
          </w:p>
        </w:tc>
      </w:tr>
      <w:tr>
        <w:trPr>
          <w:cantSplit/>
        </w:trPr>
        <w:tc>
          <w:tcPr>
            <w:tcW w:type="dxa" w:w="1500"/>
            <w:vAlign w:val="top"/>
            <w:tcMar>
              <w:top w:w="80" w:type="dxa"/>
              <w:start w:w="120" w:type="dxa"/>
              <w:bottom w:w="80" w:type="dxa"/>
              <w:end w:w="120" w:type="dxa"/>
            </w:tcMar>
          </w:tcPr>
          <w:p>
            <w:pPr>
              <w:pStyle w:val="TableText"/>
            </w:pPr>
            <w:r>
              <w:t>2. Validate</w:t>
            </w:r>
          </w:p>
        </w:tc>
        <w:tc>
          <w:tcPr>
            <w:tcW w:type="dxa" w:w="4050"/>
            <w:vAlign w:val="top"/>
            <w:tcMar>
              <w:top w:w="80" w:type="dxa"/>
              <w:start w:w="120" w:type="dxa"/>
              <w:bottom w:w="80" w:type="dxa"/>
              <w:end w:w="120" w:type="dxa"/>
            </w:tcMar>
          </w:tcPr>
          <w:p>
            <w:pPr>
              <w:pStyle w:val="TableText"/>
            </w:pPr>
            <w:r>
              <w:t>Reviewer checks data quality and confirms the signal is still relevant.</w:t>
            </w:r>
          </w:p>
        </w:tc>
        <w:tc>
          <w:tcPr>
            <w:tcW w:type="dxa" w:w="3810"/>
            <w:vAlign w:val="top"/>
            <w:tcMar>
              <w:top w:w="80" w:type="dxa"/>
              <w:start w:w="120" w:type="dxa"/>
              <w:bottom w:w="80" w:type="dxa"/>
              <w:end w:w="120" w:type="dxa"/>
            </w:tcMar>
          </w:tcPr>
          <w:p>
            <w:pPr>
              <w:pStyle w:val="TableText"/>
            </w:pPr>
            <w:r>
              <w:t>Data warning, reviewer, confirmation, or “not confirmed.”</w:t>
            </w:r>
          </w:p>
        </w:tc>
      </w:tr>
      <w:tr>
        <w:trPr>
          <w:cantSplit/>
        </w:trPr>
        <w:tc>
          <w:tcPr>
            <w:tcW w:type="dxa" w:w="1500"/>
            <w:vAlign w:val="top"/>
            <w:tcMar>
              <w:top w:w="80" w:type="dxa"/>
              <w:start w:w="120" w:type="dxa"/>
              <w:bottom w:w="80" w:type="dxa"/>
              <w:end w:w="120" w:type="dxa"/>
            </w:tcMar>
          </w:tcPr>
          <w:p>
            <w:pPr>
              <w:pStyle w:val="TableText"/>
            </w:pPr>
            <w:r>
              <w:t>3. Investigate</w:t>
            </w:r>
          </w:p>
        </w:tc>
        <w:tc>
          <w:tcPr>
            <w:tcW w:type="dxa" w:w="4050"/>
            <w:vAlign w:val="top"/>
            <w:tcMar>
              <w:top w:w="80" w:type="dxa"/>
              <w:start w:w="120" w:type="dxa"/>
              <w:bottom w:w="80" w:type="dxa"/>
              <w:end w:w="120" w:type="dxa"/>
            </w:tcMar>
          </w:tcPr>
          <w:p>
            <w:pPr>
              <w:pStyle w:val="TableText"/>
            </w:pPr>
            <w:r>
              <w:t>Quality, Production, or Maintenance performs the agreed first check.</w:t>
            </w:r>
          </w:p>
        </w:tc>
        <w:tc>
          <w:tcPr>
            <w:tcW w:type="dxa" w:w="3810"/>
            <w:vAlign w:val="top"/>
            <w:tcMar>
              <w:top w:w="80" w:type="dxa"/>
              <w:start w:w="120" w:type="dxa"/>
              <w:bottom w:w="80" w:type="dxa"/>
              <w:end w:w="120" w:type="dxa"/>
            </w:tcMar>
          </w:tcPr>
          <w:p>
            <w:pPr>
              <w:pStyle w:val="TableText"/>
            </w:pPr>
            <w:r>
              <w:t>Finding, evidence, proposed cause, confidence, first check.</w:t>
            </w:r>
          </w:p>
        </w:tc>
      </w:tr>
      <w:tr>
        <w:trPr>
          <w:cantSplit/>
        </w:trPr>
        <w:tc>
          <w:tcPr>
            <w:tcW w:type="dxa" w:w="1500"/>
            <w:vAlign w:val="top"/>
            <w:tcMar>
              <w:top w:w="80" w:type="dxa"/>
              <w:start w:w="120" w:type="dxa"/>
              <w:bottom w:w="80" w:type="dxa"/>
              <w:end w:w="120" w:type="dxa"/>
            </w:tcMar>
          </w:tcPr>
          <w:p>
            <w:pPr>
              <w:pStyle w:val="TableText"/>
            </w:pPr>
            <w:r>
              <w:t>4. Assign</w:t>
            </w:r>
          </w:p>
        </w:tc>
        <w:tc>
          <w:tcPr>
            <w:tcW w:type="dxa" w:w="4050"/>
            <w:vAlign w:val="top"/>
            <w:tcMar>
              <w:top w:w="80" w:type="dxa"/>
              <w:start w:w="120" w:type="dxa"/>
              <w:bottom w:w="80" w:type="dxa"/>
              <w:end w:w="120" w:type="dxa"/>
            </w:tcMar>
          </w:tcPr>
          <w:p>
            <w:pPr>
              <w:pStyle w:val="TableText"/>
            </w:pPr>
            <w:r>
              <w:t>Team names the owner and due date.</w:t>
            </w:r>
          </w:p>
        </w:tc>
        <w:tc>
          <w:tcPr>
            <w:tcW w:type="dxa" w:w="3810"/>
            <w:vAlign w:val="top"/>
            <w:tcMar>
              <w:top w:w="80" w:type="dxa"/>
              <w:start w:w="120" w:type="dxa"/>
              <w:bottom w:w="80" w:type="dxa"/>
              <w:end w:w="120" w:type="dxa"/>
            </w:tcMar>
          </w:tcPr>
          <w:p>
            <w:pPr>
              <w:pStyle w:val="TableText"/>
            </w:pPr>
            <w:r>
              <w:t>Owner, due date, priority, status, comments.</w:t>
            </w:r>
          </w:p>
        </w:tc>
      </w:tr>
      <w:tr>
        <w:trPr>
          <w:cantSplit/>
        </w:trPr>
        <w:tc>
          <w:tcPr>
            <w:tcW w:type="dxa" w:w="1500"/>
            <w:vAlign w:val="top"/>
            <w:tcMar>
              <w:top w:w="80" w:type="dxa"/>
              <w:start w:w="120" w:type="dxa"/>
              <w:bottom w:w="80" w:type="dxa"/>
              <w:end w:w="120" w:type="dxa"/>
            </w:tcMar>
          </w:tcPr>
          <w:p>
            <w:pPr>
              <w:pStyle w:val="TableText"/>
            </w:pPr>
            <w:r>
              <w:t>5. Verify</w:t>
            </w:r>
          </w:p>
        </w:tc>
        <w:tc>
          <w:tcPr>
            <w:tcW w:type="dxa" w:w="4050"/>
            <w:vAlign w:val="top"/>
            <w:tcMar>
              <w:top w:w="80" w:type="dxa"/>
              <w:start w:w="120" w:type="dxa"/>
              <w:bottom w:w="80" w:type="dxa"/>
              <w:end w:w="120" w:type="dxa"/>
            </w:tcMar>
          </w:tcPr>
          <w:p>
            <w:pPr>
              <w:pStyle w:val="TableText"/>
            </w:pPr>
            <w:r>
              <w:t>Compare with the agreed measure after action; check whether the issue recurs.</w:t>
            </w:r>
          </w:p>
        </w:tc>
        <w:tc>
          <w:tcPr>
            <w:tcW w:type="dxa" w:w="3810"/>
            <w:vAlign w:val="top"/>
            <w:tcMar>
              <w:top w:w="80" w:type="dxa"/>
              <w:start w:w="120" w:type="dxa"/>
              <w:bottom w:w="80" w:type="dxa"/>
              <w:end w:w="120" w:type="dxa"/>
            </w:tcMar>
          </w:tcPr>
          <w:p>
            <w:pPr>
              <w:pStyle w:val="TableText"/>
            </w:pPr>
            <w:r>
              <w:t>Completion evidence, before/after measure, effectiveness result.</w:t>
            </w:r>
          </w:p>
        </w:tc>
      </w:tr>
      <w:tr>
        <w:trPr>
          <w:cantSplit/>
        </w:trPr>
        <w:tc>
          <w:tcPr>
            <w:tcW w:type="dxa" w:w="1500"/>
            <w:vAlign w:val="top"/>
            <w:tcMar>
              <w:top w:w="80" w:type="dxa"/>
              <w:start w:w="120" w:type="dxa"/>
              <w:bottom w:w="80" w:type="dxa"/>
              <w:end w:w="120" w:type="dxa"/>
            </w:tcMar>
          </w:tcPr>
          <w:p>
            <w:pPr>
              <w:pStyle w:val="TableText"/>
            </w:pPr>
            <w:r>
              <w:t>6. Learn</w:t>
            </w:r>
          </w:p>
        </w:tc>
        <w:tc>
          <w:tcPr>
            <w:tcW w:type="dxa" w:w="4050"/>
            <w:vAlign w:val="top"/>
            <w:tcMar>
              <w:top w:w="80" w:type="dxa"/>
              <w:start w:w="120" w:type="dxa"/>
              <w:bottom w:w="80" w:type="dxa"/>
              <w:end w:w="120" w:type="dxa"/>
            </w:tcMar>
          </w:tcPr>
          <w:p>
            <w:pPr>
              <w:pStyle w:val="TableText"/>
            </w:pPr>
            <w:r>
              <w:t>Reuse confirmed outcomes in the next daily review.</w:t>
            </w:r>
          </w:p>
        </w:tc>
        <w:tc>
          <w:tcPr>
            <w:tcW w:type="dxa" w:w="3810"/>
            <w:vAlign w:val="top"/>
            <w:tcMar>
              <w:top w:w="80" w:type="dxa"/>
              <w:start w:w="120" w:type="dxa"/>
              <w:bottom w:w="80" w:type="dxa"/>
              <w:end w:w="120" w:type="dxa"/>
            </w:tcMar>
          </w:tcPr>
          <w:p>
            <w:pPr>
              <w:pStyle w:val="TableText"/>
            </w:pPr>
            <w:r>
              <w:t>Versioned report and linked issue/action history.</w:t>
            </w:r>
          </w:p>
        </w:tc>
      </w:tr>
    </w:tbl>
    <w:p>
      <w:pPr>
        <w:spacing w:after="20"/>
      </w:pPr>
    </w:p>
    <w:p>
      <w:pPr>
        <w:keepLines/>
        <w:spacing w:before="100" w:after="180"/>
        <w:ind w:left="173" w:right="115"/>
        <w:shd w:fill="FCF5E1"/>
        <w:pBdr>
          <w:left w:val="single" w:sz="18" w:space="8" w:color="D4AF37"/>
        </w:pBdr>
      </w:pPr>
      <w:r>
        <w:rPr>
          <w:b/>
          <w:color w:val="0B1728"/>
        </w:rPr>
        <w:t xml:space="preserve">Where the prototype stops  </w:t>
      </w:r>
      <w:r>
        <w:t>It can surface evidence and suggest a check. It does not yet save a shared report history or action lifecycle. A team-ready version must add those records rather than relying on individual chat history.</w:t>
      </w:r>
    </w:p>
    <w:p>
      <w:pPr>
        <w:pStyle w:val="Heading1"/>
      </w:pPr>
      <w:r>
        <w:t>Sharing and storage options to discuss</w:t>
      </w:r>
    </w:p>
    <w:p>
      <w:pPr>
        <w:pStyle w:val="Heading2"/>
      </w:pPr>
      <w:r>
        <w:t>Near-term pilot: approved shared workspace</w:t>
      </w:r>
    </w:p>
    <w:p>
      <w:pPr>
        <w:spacing w:after="80" w:line="300" w:lineRule="auto"/>
        <w:ind w:left="540" w:hanging="271"/>
        <w:numPr>
          <w:ilvl w:val="0"/>
          <w:numId w:val="10"/>
        </w:numPr>
      </w:pPr>
      <w:r>
        <w:t>Use the client’s approved team repository (for example, its existing SharePoint/Teams workspace or equivalent) for source files, dated report versions, data-quality notes, and an action register.</w:t>
      </w:r>
    </w:p>
    <w:p>
      <w:pPr>
        <w:spacing w:after="80" w:line="300" w:lineRule="auto"/>
        <w:ind w:left="540" w:hanging="271"/>
        <w:numPr>
          <w:ilvl w:val="0"/>
          <w:numId w:val="10"/>
        </w:numPr>
      </w:pPr>
      <w:r>
        <w:t>Give each approved team member individual access. Keep original values, AI suggestions, human-confirmed causes, and action outcomes in separate fields.</w:t>
      </w:r>
    </w:p>
    <w:p>
      <w:pPr>
        <w:spacing w:after="80" w:line="300" w:lineRule="auto"/>
        <w:ind w:left="540" w:hanging="271"/>
        <w:numPr>
          <w:ilvl w:val="0"/>
          <w:numId w:val="10"/>
        </w:numPr>
      </w:pPr>
      <w:r>
        <w:t>This is a lower-effort pilot of the daily workflow; it is not automatic DFOS integration and still depends on someone uploading the new export.</w:t>
      </w:r>
    </w:p>
    <w:p>
      <w:pPr>
        <w:pStyle w:val="Heading2"/>
      </w:pPr>
      <w:r>
        <w:t>Next: private team web app</w:t>
      </w:r>
    </w:p>
    <w:p>
      <w:pPr>
        <w:spacing w:after="80" w:line="300" w:lineRule="auto"/>
        <w:ind w:left="540" w:hanging="271"/>
        <w:numPr>
          <w:ilvl w:val="0"/>
          <w:numId w:val="10"/>
        </w:numPr>
      </w:pPr>
      <w:r>
        <w:t>Host the app in an IT-approved environment and use individual sign-in / company SSO with a named team access group.</w:t>
      </w:r>
    </w:p>
    <w:p>
      <w:pPr>
        <w:spacing w:after="80" w:line="300" w:lineRule="auto"/>
        <w:ind w:left="540" w:hanging="271"/>
        <w:numPr>
          <w:ilvl w:val="0"/>
          <w:numId w:val="10"/>
        </w:numPr>
      </w:pPr>
      <w:r>
        <w:t>Store original uploads privately and keep normalized records in a central database with source batch, upload time, date coverage, validation results, and version history.</w:t>
      </w:r>
    </w:p>
    <w:p>
      <w:pPr>
        <w:spacing w:after="80" w:line="300" w:lineRule="auto"/>
        <w:ind w:left="540" w:hanging="271"/>
        <w:numPr>
          <w:ilvl w:val="0"/>
          <w:numId w:val="10"/>
        </w:numPr>
      </w:pPr>
      <w:r>
        <w:t>Save each insight with its selected dates, filters, metric values, source references, AI version, and review status; link actions to an owner, due date, status history, and effectiveness check.</w:t>
      </w:r>
    </w:p>
    <w:p>
      <w:pPr>
        <w:spacing w:after="80" w:line="300" w:lineRule="auto"/>
        <w:ind w:left="540" w:hanging="271"/>
        <w:numPr>
          <w:ilvl w:val="0"/>
          <w:numId w:val="10"/>
        </w:numPr>
      </w:pPr>
      <w:r>
        <w:t>Define backup, retention/deletion, audit, and approved AI-provider rules before loading operational data.</w:t>
      </w:r>
    </w:p>
    <w:p>
      <w:pPr/>
      <w:r>
        <w:rPr>
          <w:b/>
          <w:color w:val="0B1728"/>
        </w:rPr>
        <w:t xml:space="preserve">Later integration. </w:t>
      </w:r>
      <w:r>
        <w:t>If the client wants automated refresh, assess an approved read-only DFOS API or database view after the manual-upload workflow and KPI definitions are stable. The same validation and action history should be reused.</w:t>
      </w:r>
    </w:p>
    <w:p>
      <w:pPr>
        <w:pStyle w:val="Heading1"/>
      </w:pPr>
      <w:r>
        <w:t>Machine learning: a feasibility conversation, not a promise</w:t>
      </w:r>
    </w:p>
    <w:p>
      <w:pPr/>
      <w:r>
        <w:rPr>
          <w:b/>
          <w:color w:val="0B1728"/>
        </w:rPr>
        <w:t xml:space="preserve">Classification. </w:t>
      </w:r>
      <w:r>
        <w:t>A reason classifier is not ready from this December sample: only 131 of 4,292 rejection rows (3.1%) have a rejection reason; downtime reason is present on 18.9%. First standardize and capture a reason for each relevant event, then evaluate label quality and examples per class.</w:t>
      </w:r>
    </w:p>
    <w:p>
      <w:pPr/>
      <w:r>
        <w:rPr>
          <w:b/>
          <w:color w:val="0B1728"/>
        </w:rPr>
        <w:t xml:space="preserve">Clustering. </w:t>
      </w:r>
      <w:r>
        <w:t>An exploratory clustering exercise may be possible using populated machine, model, hour, output, and downtime fields. Clusters can group similar patterns; they do not prove a cause or automatically tell the team what to fix.</w:t>
      </w:r>
    </w:p>
    <w:p>
      <w:pPr/>
      <w:r>
        <w:rPr>
          <w:b/>
          <w:color w:val="0B1728"/>
        </w:rPr>
        <w:t xml:space="preserve">Regression/forecasting. </w:t>
      </w:r>
      <w:r>
        <w:t>A baseline for future rejection quantity/rate or downtime can be explored after defining the prediction horizon and information available before the outcome. The current two-month overlap is short for a production-grade model and needs time-based validation.</w:t>
      </w:r>
    </w:p>
    <w:p>
      <w:pPr/>
      <w:r>
        <w:rPr>
          <w:b/>
          <w:color w:val="0B1728"/>
        </w:rPr>
        <w:t xml:space="preserve">Simple distinction. </w:t>
      </w:r>
      <w:r>
        <w:t>The current AI insight tab asks an LLM to explain computed results. It is not trained on these historical rows and does not currently predict an outcome.</w:t>
      </w:r>
    </w:p>
    <w:p>
      <w:pPr>
        <w:pStyle w:val="Heading1"/>
      </w:pPr>
      <w:r>
        <w:t>Questions to align with the client</w:t>
      </w:r>
    </w:p>
    <w:p>
      <w:pPr>
        <w:spacing w:after="80" w:line="300" w:lineRule="auto"/>
        <w:ind w:left="540" w:hanging="271"/>
        <w:numPr>
          <w:ilvl w:val="0"/>
          <w:numId w:val="10"/>
        </w:numPr>
      </w:pPr>
      <w:r>
        <w:t>Which daily decision should the first release improve: quality escalation, downtime response, output recovery, or all three?</w:t>
      </w:r>
    </w:p>
    <w:p>
      <w:pPr>
        <w:spacing w:after="80" w:line="300" w:lineRule="auto"/>
        <w:ind w:left="540" w:hanging="271"/>
        <w:numPr>
          <w:ilvl w:val="0"/>
          <w:numId w:val="10"/>
        </w:numPr>
      </w:pPr>
      <w:r>
        <w:t>What is the accepted definition and target for rejection rate, downtime, and plan attainment? Which comparison baseline is fair for a partial day or shift?</w:t>
      </w:r>
    </w:p>
    <w:p>
      <w:pPr>
        <w:spacing w:after="80" w:line="300" w:lineRule="auto"/>
        <w:ind w:left="540" w:hanging="271"/>
        <w:numPr>
          <w:ilvl w:val="0"/>
          <w:numId w:val="10"/>
        </w:numPr>
      </w:pPr>
      <w:r>
        <w:t>Who records the rejection and downtime reason, and can the reason field be required or selected from a short agreed code list?</w:t>
      </w:r>
    </w:p>
    <w:p>
      <w:pPr>
        <w:spacing w:after="80" w:line="300" w:lineRule="auto"/>
        <w:ind w:left="540" w:hanging="271"/>
        <w:numPr>
          <w:ilvl w:val="0"/>
          <w:numId w:val="10"/>
        </w:numPr>
      </w:pPr>
      <w:r>
        <w:t>Who reviews an AI suggestion, assigns an action, and confirms whether the issue was resolved?</w:t>
      </w:r>
    </w:p>
    <w:p>
      <w:pPr>
        <w:spacing w:after="80" w:line="300" w:lineRule="auto"/>
        <w:ind w:left="540" w:hanging="271"/>
        <w:numPr>
          <w:ilvl w:val="0"/>
          <w:numId w:val="10"/>
        </w:numPr>
      </w:pPr>
      <w:r>
        <w:t>Which approved team workspace should hold the source files, saved reports, and action history? Are individual accounts/SSO available?</w:t>
      </w:r>
    </w:p>
    <w:p>
      <w:pPr>
        <w:spacing w:after="80" w:line="300" w:lineRule="auto"/>
        <w:ind w:left="540" w:hanging="271"/>
        <w:numPr>
          <w:ilvl w:val="0"/>
          <w:numId w:val="10"/>
        </w:numPr>
      </w:pPr>
      <w:r>
        <w:t>Which AI provider and retention policy are approved for these operational summaries?</w:t>
      </w:r>
    </w:p>
    <w:p>
      <w:pPr>
        <w:spacing w:after="80" w:line="300" w:lineRule="auto"/>
        <w:ind w:left="540" w:hanging="271"/>
        <w:numPr>
          <w:ilvl w:val="0"/>
          <w:numId w:val="10"/>
        </w:numPr>
      </w:pPr>
      <w:r>
        <w:t>Should the first pilot use manual daily uploads, with an approved read-only DFOS connection considered later?</w:t>
      </w:r>
    </w:p>
    <w:p>
      <w:pPr>
        <w:pStyle w:val="Heading1"/>
      </w:pPr>
      <w:r>
        <w:t>Suggested closing talk track</w:t>
      </w:r>
    </w:p>
    <w:p>
      <w:pPr>
        <w:keepLines/>
        <w:spacing w:before="100" w:after="180"/>
        <w:ind w:left="173" w:right="115"/>
        <w:shd w:fill="FCF5E1"/>
        <w:pBdr>
          <w:left w:val="single" w:sz="18" w:space="8" w:color="D4AF37"/>
        </w:pBdr>
      </w:pPr>
      <w:r>
        <w:rPr>
          <w:b/>
          <w:color w:val="0B1728"/>
        </w:rPr>
        <w:t xml:space="preserve">60-second version  </w:t>
      </w:r>
      <w:r>
        <w:t>“We have a working prototype that brings production, downtime, and rejection exports into one evidence-led daily review. It calculates the measures from the report fields, shows daily and monthly trends, checks where files align, and asks AI to summarize findings and suggest a first check. The next value step is to improve reason completeness and agree the KPI thresholds and action process. The current prototype is not yet a shared system of record, so we should choose an approved team workspace or web-app environment for saved reports, owners, status, and effectiveness follow-up. We recommend validating that workflow with the team before adding automated DFOS integration or promising machine learning.”</w:t>
      </w:r>
    </w:p>
    <w:p>
      <w:pPr>
        <w:pStyle w:val="SmallNote"/>
        <w:spacing w:before="200"/>
      </w:pPr>
      <w:r>
        <w:t>Data basis: files currently reviewed in the Smart Control Tower workspace, including the December 2025 rejection and downtime reports and the September 2026 production dashboard. Figures are historical and should be reconfirmed against the client’s source-of-truth definitions before being used as targets.</w:t>
      </w:r>
    </w:p>
    <w:sectPr w:rsidR="00FC693F" w:rsidRPr="0006063C" w:rsidSect="00034616">
      <w:headerReference w:type="default" r:id="rId9"/>
      <w:footerReference w:type="default" r:id="rId10"/>
      <w:pgSz w:w="12240" w:h="15840"/>
      <w:pgMar w:top="1123" w:right="1440" w:bottom="1123" w:left="1440"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878"/>
        <w:sz w:val="16"/>
      </w:rPr>
      <w:t xml:space="preserve">Amber Press Shop  |  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C6878"/>
        <w:sz w:val="17"/>
      </w:rPr>
      <w:t>SMART CONTROL TOWER</w:t>
    </w:r>
    <w:r>
      <w:rPr>
        <w:rFonts w:ascii="Calibri" w:hAnsi="Calibri"/>
        <w:color w:val="5C6878"/>
        <w:sz w:val="17"/>
      </w:rPr>
      <w:t xml:space="preserve">   |   CLIENT DISCUSSION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nsid w:val="0000000A"/>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pPr>
    <w:rPr>
      <w:rFonts w:ascii="Calibri" w:hAnsi="Calibri"/>
      <w:color w:val="2330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9"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9"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40" w:line="259" w:lineRule="auto"/>
    </w:pPr>
    <w:rPr>
      <w:rFonts w:ascii="Calibri" w:hAnsi="Calibri"/>
      <w:b w:val="0"/>
      <w:color w:val="233041"/>
      <w:sz w:val="18"/>
    </w:rPr>
  </w:style>
  <w:style w:type="paragraph" w:customStyle="1" w:styleId="TableHeader">
    <w:name w:val="Table Header"/>
    <w:pPr>
      <w:spacing w:before="0" w:after="40" w:line="259" w:lineRule="auto"/>
    </w:pPr>
    <w:rPr>
      <w:rFonts w:ascii="Calibri" w:hAnsi="Calibri"/>
      <w:b/>
      <w:color w:val="0B1728"/>
      <w:sz w:val="18"/>
    </w:rPr>
  </w:style>
  <w:style w:type="paragraph" w:customStyle="1" w:styleId="SmallNote">
    <w:name w:val="Small Note"/>
    <w:pPr>
      <w:spacing w:before="0" w:after="80" w:line="269" w:lineRule="auto"/>
    </w:pPr>
    <w:rPr>
      <w:rFonts w:ascii="Calibri" w:hAnsi="Calibri"/>
      <w:b w:val="0"/>
      <w:color w:val="5C6878"/>
      <w:sz w:val="17"/>
    </w:rPr>
  </w:style>
  <w:style w:type="paragraph" w:customStyle="1" w:styleId="Kicker">
    <w:name w:val="Kicker"/>
    <w:pPr>
      <w:spacing w:before="0" w:after="40" w:line="240" w:lineRule="auto"/>
    </w:pPr>
    <w:rPr>
      <w:rFonts w:ascii="Calibri" w:hAnsi="Calibri"/>
      <w:b/>
      <w:color w:val="D4AF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Control Tower - Client Feature and Daily Action Guide</dc:title>
  <dc:subject>Explaining current features, data-backed indicators, action workflow, and team sharing options</dc:subject>
  <dc:creator>Smart Control Tower</dc:creator>
  <cp:keywords>daily review, production, downtime, rejection, actionable insights, team workspace</cp:keywords>
  <dc:description>generated by python-docx</dc:description>
  <cp:lastModifiedBy/>
  <cp:revision>1</cp:revision>
  <dcterms:created xsi:type="dcterms:W3CDTF">2013-12-23T23:15:00Z</dcterms:created>
  <dcterms:modified xsi:type="dcterms:W3CDTF">2013-12-23T23:15:00Z</dcterms:modified>
  <cp:category/>
</cp:coreProperties>
</file>