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37FF" w14:textId="25923E69" w:rsidR="00F41F0C" w:rsidRPr="00072122" w:rsidRDefault="00000000" w:rsidP="00072122">
      <w:pPr>
        <w:pStyle w:val="af1"/>
        <w:spacing w:beforeLines="25" w:before="78" w:beforeAutospacing="0" w:afterLines="25" w:after="78" w:afterAutospacing="0" w:line="360" w:lineRule="exact"/>
        <w:rPr>
          <w:rFonts w:eastAsia="黑体" w:cs="Times New Roman"/>
          <w:sz w:val="32"/>
        </w:rPr>
      </w:pPr>
      <w:r>
        <w:rPr>
          <w:rFonts w:eastAsia="黑体" w:cs="Times New Roman" w:hint="eastAsia"/>
          <w:sz w:val="32"/>
        </w:rPr>
        <w:t>磺基水杨酸合铜组成及稳定常数的测定</w:t>
      </w:r>
    </w:p>
    <w:p w14:paraId="06CEFF6B" w14:textId="77777777" w:rsidR="00F41F0C" w:rsidRDefault="00000000">
      <w:pPr>
        <w:tabs>
          <w:tab w:val="left" w:pos="0"/>
        </w:tabs>
        <w:spacing w:beforeLines="100" w:before="315" w:line="320" w:lineRule="exact"/>
        <w:rPr>
          <w:rFonts w:eastAsia="黑体" w:hAnsi="黑体" w:hint="eastAsia"/>
          <w:bCs/>
          <w:sz w:val="28"/>
          <w:szCs w:val="28"/>
        </w:rPr>
      </w:pPr>
      <w:r>
        <w:rPr>
          <w:rFonts w:eastAsia="黑体"/>
          <w:bCs/>
          <w:sz w:val="28"/>
          <w:szCs w:val="28"/>
        </w:rPr>
        <w:t xml:space="preserve">1  </w:t>
      </w:r>
      <w:r>
        <w:rPr>
          <w:rFonts w:eastAsia="黑体" w:hAnsi="黑体" w:hint="eastAsia"/>
          <w:bCs/>
          <w:sz w:val="28"/>
          <w:szCs w:val="28"/>
        </w:rPr>
        <w:t>实验目的</w:t>
      </w:r>
    </w:p>
    <w:p w14:paraId="4E294DD0" w14:textId="77777777" w:rsidR="00F41F0C" w:rsidRDefault="00000000">
      <w:pPr>
        <w:numPr>
          <w:ilvl w:val="0"/>
          <w:numId w:val="1"/>
        </w:numPr>
        <w:tabs>
          <w:tab w:val="left" w:pos="0"/>
        </w:tabs>
        <w:spacing w:line="320" w:lineRule="exact"/>
        <w:rPr>
          <w:bCs/>
          <w:szCs w:val="21"/>
        </w:rPr>
      </w:pPr>
      <w:r>
        <w:rPr>
          <w:rFonts w:ascii="宋体" w:hAnsi="宋体" w:cs="宋体"/>
          <w:szCs w:val="21"/>
        </w:rPr>
        <w:t>学会正确使用分光光度计和酸度计。</w:t>
      </w:r>
    </w:p>
    <w:p w14:paraId="219B0945" w14:textId="77777777" w:rsidR="00F41F0C" w:rsidRDefault="00000000">
      <w:pPr>
        <w:numPr>
          <w:ilvl w:val="0"/>
          <w:numId w:val="1"/>
        </w:numPr>
        <w:tabs>
          <w:tab w:val="left" w:pos="0"/>
        </w:tabs>
        <w:spacing w:line="320" w:lineRule="exact"/>
        <w:rPr>
          <w:bCs/>
          <w:szCs w:val="21"/>
        </w:rPr>
      </w:pPr>
      <w:r>
        <w:rPr>
          <w:rFonts w:ascii="宋体" w:hAnsi="宋体" w:cs="宋体"/>
          <w:szCs w:val="21"/>
        </w:rPr>
        <w:t>掌握运用分光光度法来测定配合物组成以及稳定常数的原理与方法。</w:t>
      </w:r>
    </w:p>
    <w:p w14:paraId="53BF5456" w14:textId="77777777" w:rsidR="00F41F0C" w:rsidRDefault="00000000">
      <w:pPr>
        <w:numPr>
          <w:ilvl w:val="0"/>
          <w:numId w:val="1"/>
        </w:numPr>
        <w:tabs>
          <w:tab w:val="left" w:pos="0"/>
        </w:tabs>
        <w:spacing w:line="320" w:lineRule="exact"/>
        <w:rPr>
          <w:bCs/>
          <w:szCs w:val="21"/>
        </w:rPr>
      </w:pPr>
      <w:r>
        <w:rPr>
          <w:rFonts w:ascii="宋体" w:hAnsi="宋体" w:cs="宋体"/>
          <w:szCs w:val="21"/>
        </w:rPr>
        <w:t>了解磺基水杨酸的相关性质，以及其与金属离子能够形成的配合物情况。</w:t>
      </w:r>
    </w:p>
    <w:p w14:paraId="6E1350E3" w14:textId="77777777" w:rsidR="00F41F0C" w:rsidRDefault="00F41F0C">
      <w:pPr>
        <w:tabs>
          <w:tab w:val="left" w:pos="0"/>
        </w:tabs>
        <w:spacing w:line="320" w:lineRule="exact"/>
        <w:rPr>
          <w:bCs/>
          <w:szCs w:val="21"/>
        </w:rPr>
      </w:pPr>
    </w:p>
    <w:p w14:paraId="76131903" w14:textId="77777777" w:rsidR="00F41F0C" w:rsidRDefault="00000000">
      <w:pPr>
        <w:tabs>
          <w:tab w:val="left" w:pos="0"/>
        </w:tabs>
        <w:spacing w:beforeLines="100" w:before="315" w:line="320" w:lineRule="exact"/>
        <w:rPr>
          <w:rFonts w:eastAsia="黑体"/>
          <w:bCs/>
          <w:sz w:val="28"/>
          <w:szCs w:val="28"/>
        </w:rPr>
      </w:pPr>
      <w:r>
        <w:rPr>
          <w:rFonts w:eastAsia="黑体" w:hint="eastAsia"/>
          <w:bCs/>
          <w:sz w:val="28"/>
          <w:szCs w:val="28"/>
        </w:rPr>
        <w:t>2</w:t>
      </w:r>
      <w:r>
        <w:rPr>
          <w:rFonts w:eastAsia="黑体"/>
          <w:bCs/>
          <w:sz w:val="28"/>
          <w:szCs w:val="28"/>
        </w:rPr>
        <w:t xml:space="preserve">  </w:t>
      </w:r>
      <w:r>
        <w:rPr>
          <w:rFonts w:eastAsia="黑体" w:hAnsi="黑体" w:hint="eastAsia"/>
          <w:bCs/>
          <w:sz w:val="28"/>
          <w:szCs w:val="28"/>
        </w:rPr>
        <w:t>实验原理</w:t>
      </w:r>
    </w:p>
    <w:p w14:paraId="55B36E5E" w14:textId="77777777" w:rsidR="00F41F0C" w:rsidRDefault="00000000">
      <w:pPr>
        <w:tabs>
          <w:tab w:val="left" w:pos="0"/>
        </w:tabs>
        <w:spacing w:line="320" w:lineRule="exact"/>
        <w:rPr>
          <w:bCs/>
          <w:szCs w:val="21"/>
        </w:rPr>
      </w:pPr>
      <w:r>
        <w:rPr>
          <w:rFonts w:hint="eastAsia"/>
          <w:b/>
          <w:szCs w:val="21"/>
        </w:rPr>
        <w:t>2.1</w:t>
      </w:r>
      <w:r>
        <w:rPr>
          <w:rFonts w:hint="eastAsia"/>
          <w:b/>
          <w:szCs w:val="21"/>
        </w:rPr>
        <w:t>等摩尔连续变化法</w:t>
      </w:r>
    </w:p>
    <w:p w14:paraId="5F9DE3BD" w14:textId="77777777" w:rsidR="00F41F0C" w:rsidRDefault="00000000">
      <w:pPr>
        <w:tabs>
          <w:tab w:val="left" w:pos="0"/>
        </w:tabs>
        <w:spacing w:line="320" w:lineRule="exact"/>
        <w:ind w:firstLineChars="200" w:firstLine="420"/>
        <w:rPr>
          <w:bCs/>
          <w:szCs w:val="21"/>
        </w:rPr>
      </w:pPr>
      <w:r>
        <w:rPr>
          <w:rFonts w:hint="eastAsia"/>
          <w:bCs/>
          <w:szCs w:val="21"/>
        </w:rPr>
        <w:t>分光光度法是进行配离子组成的测定时较为常用且十分有效的方法。在众多利用分光光度法测定配离子组成的方法里，较为常用的有摩尔比法以及等摩尔连续变化法（又可称之为浓比递变法）。下面着重强调等摩尔连续变化法。</w:t>
      </w:r>
    </w:p>
    <w:p w14:paraId="4736B076" w14:textId="79714E60" w:rsidR="00F41F0C" w:rsidRDefault="006032D0">
      <w:pPr>
        <w:tabs>
          <w:tab w:val="left" w:pos="0"/>
        </w:tabs>
        <w:spacing w:line="320" w:lineRule="exact"/>
        <w:rPr>
          <w:bCs/>
          <w:szCs w:val="21"/>
        </w:rPr>
      </w:pPr>
      <w:r>
        <w:rPr>
          <w:noProof/>
        </w:rPr>
        <w:drawing>
          <wp:anchor distT="0" distB="0" distL="114300" distR="114300" simplePos="0" relativeHeight="251657728" behindDoc="0" locked="0" layoutInCell="1" allowOverlap="1" wp14:anchorId="487AA303" wp14:editId="35F7AB3F">
            <wp:simplePos x="0" y="0"/>
            <wp:positionH relativeFrom="column">
              <wp:posOffset>3782695</wp:posOffset>
            </wp:positionH>
            <wp:positionV relativeFrom="paragraph">
              <wp:posOffset>379730</wp:posOffset>
            </wp:positionV>
            <wp:extent cx="2260600" cy="1803400"/>
            <wp:effectExtent l="0" t="0" r="0" b="0"/>
            <wp:wrapSquare wrapText="bothSides"/>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0600" cy="1803400"/>
                    </a:xfrm>
                    <a:prstGeom prst="rect">
                      <a:avLst/>
                    </a:prstGeom>
                    <a:noFill/>
                  </pic:spPr>
                </pic:pic>
              </a:graphicData>
            </a:graphic>
            <wp14:sizeRelH relativeFrom="page">
              <wp14:pctWidth>0</wp14:pctWidth>
            </wp14:sizeRelH>
            <wp14:sizeRelV relativeFrom="page">
              <wp14:pctHeight>0</wp14:pctHeight>
            </wp14:sizeRelV>
          </wp:anchor>
        </w:drawing>
      </w:r>
      <w:r w:rsidR="00000000">
        <w:rPr>
          <w:rFonts w:hint="eastAsia"/>
          <w:bCs/>
          <w:szCs w:val="21"/>
        </w:rPr>
        <w:tab/>
      </w:r>
      <w:r w:rsidR="00000000">
        <w:rPr>
          <w:rFonts w:hint="eastAsia"/>
          <w:b/>
          <w:szCs w:val="21"/>
        </w:rPr>
        <w:t>等摩尔连续变化法：</w:t>
      </w:r>
      <w:r w:rsidR="00000000">
        <w:rPr>
          <w:rFonts w:hint="eastAsia"/>
          <w:bCs/>
          <w:szCs w:val="21"/>
        </w:rPr>
        <w:t>保持溶液的配位体的浓度（</w:t>
      </w:r>
      <w:r w:rsidR="00000000">
        <w:rPr>
          <w:rFonts w:hint="eastAsia"/>
          <w:bCs/>
          <w:szCs w:val="21"/>
        </w:rPr>
        <w:t>C</w:t>
      </w:r>
      <w:r w:rsidR="00000000">
        <w:rPr>
          <w:rFonts w:hint="eastAsia"/>
          <w:bCs/>
          <w:szCs w:val="21"/>
          <w:vertAlign w:val="subscript"/>
        </w:rPr>
        <w:t>R</w:t>
      </w:r>
      <w:r w:rsidR="00000000">
        <w:rPr>
          <w:rFonts w:hint="eastAsia"/>
          <w:bCs/>
          <w:szCs w:val="21"/>
        </w:rPr>
        <w:t>）与金属离子的浓度（</w:t>
      </w:r>
      <w:r w:rsidR="00000000">
        <w:rPr>
          <w:rFonts w:hint="eastAsia"/>
          <w:bCs/>
          <w:szCs w:val="21"/>
        </w:rPr>
        <w:t>C</w:t>
      </w:r>
      <w:r w:rsidR="00000000">
        <w:rPr>
          <w:rFonts w:hint="eastAsia"/>
          <w:bCs/>
          <w:szCs w:val="21"/>
          <w:vertAlign w:val="subscript"/>
        </w:rPr>
        <w:t>M</w:t>
      </w:r>
      <w:r w:rsidR="00000000">
        <w:rPr>
          <w:rFonts w:hint="eastAsia"/>
          <w:bCs/>
          <w:szCs w:val="21"/>
        </w:rPr>
        <w:t>）之和不变（即总摩尔数不变），</w:t>
      </w:r>
      <w:r w:rsidR="00000000">
        <w:rPr>
          <w:szCs w:val="21"/>
        </w:rPr>
        <w:t>然后改变</w:t>
      </w:r>
      <w:r w:rsidR="00000000">
        <w:rPr>
          <w:szCs w:val="21"/>
        </w:rPr>
        <w:t> CM </w:t>
      </w:r>
      <w:r w:rsidR="00000000">
        <w:rPr>
          <w:szCs w:val="21"/>
        </w:rPr>
        <w:t>与</w:t>
      </w:r>
      <w:r w:rsidR="00000000">
        <w:rPr>
          <w:szCs w:val="21"/>
        </w:rPr>
        <w:t> CR </w:t>
      </w:r>
      <w:r w:rsidR="00000000">
        <w:rPr>
          <w:szCs w:val="21"/>
        </w:rPr>
        <w:t>的相对量，从而配制出一系列不同组成的溶液。</w:t>
      </w:r>
      <w:r w:rsidR="00000000">
        <w:rPr>
          <w:rFonts w:hint="eastAsia"/>
          <w:szCs w:val="21"/>
        </w:rPr>
        <w:t>如此的</w:t>
      </w:r>
      <w:r w:rsidR="00000000">
        <w:rPr>
          <w:szCs w:val="21"/>
        </w:rPr>
        <w:t>一系列的溶液中，一些溶液中的配位体会出现过量的情况，而有一些溶液里的金属离子会出现过量的情况，</w:t>
      </w:r>
      <w:r w:rsidR="00000000">
        <w:rPr>
          <w:rFonts w:hint="eastAsia"/>
          <w:szCs w:val="21"/>
        </w:rPr>
        <w:t>因此它们的</w:t>
      </w:r>
      <w:r w:rsidR="00000000">
        <w:rPr>
          <w:szCs w:val="21"/>
        </w:rPr>
        <w:t>配离子的浓度都无法达到最大值。只有当溶液中金属离子与配位体的摩尔数之比和配离子的组成比例相</w:t>
      </w:r>
      <w:r w:rsidR="00000000">
        <w:rPr>
          <w:rFonts w:hint="eastAsia"/>
          <w:szCs w:val="21"/>
        </w:rPr>
        <w:t>等</w:t>
      </w:r>
      <w:r w:rsidR="00000000">
        <w:rPr>
          <w:szCs w:val="21"/>
        </w:rPr>
        <w:t>时，配离子的浓度才能达到最大值。在实验操作过程中，取用</w:t>
      </w:r>
      <w:r w:rsidR="00000000">
        <w:rPr>
          <w:rFonts w:hint="eastAsia"/>
          <w:szCs w:val="21"/>
        </w:rPr>
        <w:t>摩尔</w:t>
      </w:r>
      <w:r w:rsidR="00000000">
        <w:rPr>
          <w:szCs w:val="21"/>
        </w:rPr>
        <w:t>浓度相等的金属离子溶液以及配位体溶液，按照不同的体积比（</w:t>
      </w:r>
      <w:r w:rsidR="00000000">
        <w:rPr>
          <w:rFonts w:hint="eastAsia"/>
          <w:szCs w:val="21"/>
        </w:rPr>
        <w:t>等同于</w:t>
      </w:r>
      <w:r w:rsidR="00000000">
        <w:rPr>
          <w:szCs w:val="21"/>
        </w:rPr>
        <w:t>摩尔数之比）配制成一系列的混合溶液，测定它们的吸光度，以体积分数（</w:t>
      </w:r>
      <w:r w:rsidR="00000000">
        <w:rPr>
          <w:szCs w:val="21"/>
        </w:rPr>
        <w:t>V</w:t>
      </w:r>
      <w:r w:rsidR="00000000">
        <w:rPr>
          <w:szCs w:val="21"/>
          <w:vertAlign w:val="subscript"/>
        </w:rPr>
        <w:t>M</w:t>
      </w:r>
      <w:r w:rsidR="00000000">
        <w:rPr>
          <w:szCs w:val="21"/>
        </w:rPr>
        <w:t>/(V</w:t>
      </w:r>
      <w:r w:rsidR="00000000">
        <w:rPr>
          <w:szCs w:val="21"/>
          <w:vertAlign w:val="subscript"/>
        </w:rPr>
        <w:t>M</w:t>
      </w:r>
      <w:r w:rsidR="00000000">
        <w:rPr>
          <w:szCs w:val="21"/>
        </w:rPr>
        <w:t>+V</w:t>
      </w:r>
      <w:r w:rsidR="00000000">
        <w:rPr>
          <w:szCs w:val="21"/>
          <w:vertAlign w:val="subscript"/>
        </w:rPr>
        <w:t>R</w:t>
      </w:r>
      <w:r w:rsidR="00000000">
        <w:rPr>
          <w:szCs w:val="21"/>
        </w:rPr>
        <w:t>)</w:t>
      </w:r>
      <w:r w:rsidR="00000000">
        <w:rPr>
          <w:szCs w:val="21"/>
        </w:rPr>
        <w:t>或者</w:t>
      </w:r>
      <w:r w:rsidR="00000000">
        <w:rPr>
          <w:szCs w:val="21"/>
        </w:rPr>
        <w:t> V</w:t>
      </w:r>
      <w:r w:rsidR="00000000">
        <w:rPr>
          <w:szCs w:val="21"/>
          <w:vertAlign w:val="subscript"/>
        </w:rPr>
        <w:t>R</w:t>
      </w:r>
      <w:r w:rsidR="00000000">
        <w:rPr>
          <w:szCs w:val="21"/>
        </w:rPr>
        <w:t>/(V</w:t>
      </w:r>
      <w:r w:rsidR="00000000">
        <w:rPr>
          <w:szCs w:val="21"/>
          <w:vertAlign w:val="subscript"/>
        </w:rPr>
        <w:t>M</w:t>
      </w:r>
      <w:r w:rsidR="00000000">
        <w:rPr>
          <w:szCs w:val="21"/>
        </w:rPr>
        <w:t>+V</w:t>
      </w:r>
      <w:r w:rsidR="00000000">
        <w:rPr>
          <w:szCs w:val="21"/>
          <w:vertAlign w:val="subscript"/>
        </w:rPr>
        <w:t>R</w:t>
      </w:r>
      <w:r w:rsidR="00000000">
        <w:rPr>
          <w:szCs w:val="21"/>
        </w:rPr>
        <w:t>)</w:t>
      </w:r>
      <w:r w:rsidR="00000000">
        <w:rPr>
          <w:szCs w:val="21"/>
        </w:rPr>
        <w:t>，即摩尔分数）作为横坐标，以吸光度（</w:t>
      </w:r>
      <w:r w:rsidR="00000000">
        <w:rPr>
          <w:szCs w:val="21"/>
        </w:rPr>
        <w:t>A</w:t>
      </w:r>
      <w:r w:rsidR="00000000">
        <w:rPr>
          <w:szCs w:val="21"/>
        </w:rPr>
        <w:t>）作为纵坐标来绘制曲线（</w:t>
      </w:r>
      <w:r w:rsidR="00000000">
        <w:rPr>
          <w:rFonts w:hint="eastAsia"/>
          <w:szCs w:val="21"/>
        </w:rPr>
        <w:t>如</w:t>
      </w:r>
      <w:r w:rsidR="00000000">
        <w:rPr>
          <w:szCs w:val="21"/>
        </w:rPr>
        <w:t>图</w:t>
      </w:r>
      <w:r w:rsidR="00000000">
        <w:rPr>
          <w:szCs w:val="21"/>
        </w:rPr>
        <w:t> </w:t>
      </w:r>
      <w:r w:rsidR="00000000">
        <w:rPr>
          <w:rFonts w:hint="eastAsia"/>
          <w:szCs w:val="21"/>
        </w:rPr>
        <w:t>）</w:t>
      </w:r>
      <w:r w:rsidR="00000000">
        <w:rPr>
          <w:szCs w:val="21"/>
        </w:rPr>
        <w:t>，将曲线两边的直线部分进行延长使其相交于</w:t>
      </w:r>
      <w:r w:rsidR="00000000">
        <w:rPr>
          <w:szCs w:val="21"/>
        </w:rPr>
        <w:t> B </w:t>
      </w:r>
      <w:r w:rsidR="00000000">
        <w:rPr>
          <w:szCs w:val="21"/>
        </w:rPr>
        <w:t>点，此时</w:t>
      </w:r>
      <w:r w:rsidR="00000000">
        <w:rPr>
          <w:szCs w:val="21"/>
        </w:rPr>
        <w:t> B </w:t>
      </w:r>
      <w:r w:rsidR="00000000">
        <w:rPr>
          <w:szCs w:val="21"/>
        </w:rPr>
        <w:t>点的吸光度</w:t>
      </w:r>
      <w:r w:rsidR="00000000">
        <w:rPr>
          <w:szCs w:val="21"/>
        </w:rPr>
        <w:t> A’</w:t>
      </w:r>
      <w:r w:rsidR="00000000">
        <w:rPr>
          <w:szCs w:val="21"/>
        </w:rPr>
        <w:t>达到最大值。由</w:t>
      </w:r>
      <w:r w:rsidR="00000000">
        <w:rPr>
          <w:szCs w:val="21"/>
        </w:rPr>
        <w:t> B </w:t>
      </w:r>
      <w:r w:rsidR="00000000">
        <w:rPr>
          <w:szCs w:val="21"/>
        </w:rPr>
        <w:t>点横坐标值</w:t>
      </w:r>
      <w:r w:rsidR="00000000">
        <w:rPr>
          <w:szCs w:val="21"/>
        </w:rPr>
        <w:t> F </w:t>
      </w:r>
      <w:r w:rsidR="00000000">
        <w:rPr>
          <w:szCs w:val="21"/>
        </w:rPr>
        <w:t>就可以计算出</w:t>
      </w:r>
      <w:r w:rsidR="00000000">
        <w:rPr>
          <w:rFonts w:hint="eastAsia"/>
          <w:szCs w:val="21"/>
        </w:rPr>
        <w:t>理论上</w:t>
      </w:r>
      <w:r w:rsidR="00000000">
        <w:rPr>
          <w:szCs w:val="21"/>
        </w:rPr>
        <w:t>配离子中金属离子与配位体的摩尔数比，</w:t>
      </w:r>
      <w:r w:rsidR="00000000">
        <w:rPr>
          <w:rFonts w:hint="eastAsia"/>
          <w:szCs w:val="21"/>
        </w:rPr>
        <w:t>即</w:t>
      </w:r>
      <w:r w:rsidR="00000000">
        <w:rPr>
          <w:szCs w:val="21"/>
        </w:rPr>
        <w:t>求出配离子</w:t>
      </w:r>
      <w:r w:rsidR="00000000">
        <w:rPr>
          <w:szCs w:val="21"/>
        </w:rPr>
        <w:t> MR</w:t>
      </w:r>
      <w:r w:rsidR="00000000">
        <w:rPr>
          <w:szCs w:val="21"/>
          <w:vertAlign w:val="subscript"/>
        </w:rPr>
        <w:t>n</w:t>
      </w:r>
      <w:r w:rsidR="00000000">
        <w:rPr>
          <w:szCs w:val="21"/>
        </w:rPr>
        <w:t> </w:t>
      </w:r>
      <w:r w:rsidR="00000000">
        <w:rPr>
          <w:szCs w:val="21"/>
        </w:rPr>
        <w:t>中配位体的数目</w:t>
      </w:r>
      <w:r w:rsidR="00000000">
        <w:rPr>
          <w:szCs w:val="21"/>
        </w:rPr>
        <w:t> n</w:t>
      </w:r>
      <w:r w:rsidR="00000000">
        <w:rPr>
          <w:szCs w:val="21"/>
        </w:rPr>
        <w:t>。从图</w:t>
      </w:r>
      <w:r w:rsidR="00000000">
        <w:rPr>
          <w:szCs w:val="21"/>
        </w:rPr>
        <w:t> 3.5 </w:t>
      </w:r>
      <w:r w:rsidR="00000000">
        <w:rPr>
          <w:szCs w:val="21"/>
        </w:rPr>
        <w:t>的曲线可以看出，实际上实验测得的最大吸光度是在</w:t>
      </w:r>
      <w:r w:rsidR="00000000">
        <w:rPr>
          <w:szCs w:val="21"/>
        </w:rPr>
        <w:t> E </w:t>
      </w:r>
      <w:r w:rsidR="00000000">
        <w:rPr>
          <w:szCs w:val="21"/>
        </w:rPr>
        <w:t>点，其值为</w:t>
      </w:r>
      <w:r w:rsidR="00000000">
        <w:rPr>
          <w:szCs w:val="21"/>
        </w:rPr>
        <w:t> A</w:t>
      </w:r>
      <w:r w:rsidR="00000000">
        <w:rPr>
          <w:rFonts w:hint="eastAsia"/>
          <w:szCs w:val="21"/>
        </w:rPr>
        <w:t>，而</w:t>
      </w:r>
      <w:r w:rsidR="00000000">
        <w:rPr>
          <w:szCs w:val="21"/>
        </w:rPr>
        <w:t>理论上最大吸光度应在</w:t>
      </w:r>
      <w:r w:rsidR="00000000">
        <w:rPr>
          <w:szCs w:val="21"/>
        </w:rPr>
        <w:t> B </w:t>
      </w:r>
      <w:r w:rsidR="00000000">
        <w:rPr>
          <w:szCs w:val="21"/>
        </w:rPr>
        <w:t>点，其值为</w:t>
      </w:r>
      <w:r w:rsidR="00000000">
        <w:rPr>
          <w:szCs w:val="21"/>
        </w:rPr>
        <w:t> A</w:t>
      </w:r>
      <w:r w:rsidR="00000000">
        <w:rPr>
          <w:szCs w:val="21"/>
          <w:vertAlign w:val="superscript"/>
        </w:rPr>
        <w:t>’</w:t>
      </w:r>
      <w:r w:rsidR="00000000">
        <w:rPr>
          <w:szCs w:val="21"/>
        </w:rPr>
        <w:t>，</w:t>
      </w:r>
      <w:r w:rsidR="00000000">
        <w:rPr>
          <w:rFonts w:hint="eastAsia"/>
          <w:szCs w:val="21"/>
        </w:rPr>
        <w:t>这是因为我们</w:t>
      </w:r>
      <w:r w:rsidR="00000000">
        <w:rPr>
          <w:szCs w:val="21"/>
        </w:rPr>
        <w:t>认为</w:t>
      </w:r>
      <w:r w:rsidR="00000000">
        <w:rPr>
          <w:rFonts w:hint="eastAsia"/>
          <w:szCs w:val="21"/>
        </w:rPr>
        <w:t>理论上在这个比例时</w:t>
      </w:r>
      <w:r w:rsidR="00000000">
        <w:rPr>
          <w:szCs w:val="21"/>
        </w:rPr>
        <w:t>此时</w:t>
      </w:r>
      <w:r w:rsidR="00000000">
        <w:rPr>
          <w:szCs w:val="21"/>
        </w:rPr>
        <w:t> M </w:t>
      </w:r>
      <w:r w:rsidR="00000000">
        <w:rPr>
          <w:szCs w:val="21"/>
        </w:rPr>
        <w:t>与</w:t>
      </w:r>
      <w:r w:rsidR="00000000">
        <w:rPr>
          <w:szCs w:val="21"/>
        </w:rPr>
        <w:t> R </w:t>
      </w:r>
      <w:r w:rsidR="00000000">
        <w:rPr>
          <w:szCs w:val="21"/>
        </w:rPr>
        <w:t>全部发生配合</w:t>
      </w:r>
      <w:r w:rsidR="00000000">
        <w:rPr>
          <w:rFonts w:hint="eastAsia"/>
          <w:szCs w:val="21"/>
        </w:rPr>
        <w:t>，</w:t>
      </w:r>
      <w:r w:rsidR="00000000">
        <w:rPr>
          <w:szCs w:val="21"/>
        </w:rPr>
        <w:t>但由于配离子会有一部分出现解离的情况，所以其浓度会稍微小一些。据此</w:t>
      </w:r>
      <w:r w:rsidR="00000000">
        <w:rPr>
          <w:rFonts w:hint="eastAsia"/>
          <w:szCs w:val="21"/>
        </w:rPr>
        <w:t>也</w:t>
      </w:r>
      <w:r w:rsidR="00000000">
        <w:rPr>
          <w:szCs w:val="21"/>
        </w:rPr>
        <w:t>可以</w:t>
      </w:r>
      <w:r w:rsidR="00000000">
        <w:rPr>
          <w:rFonts w:hint="eastAsia"/>
          <w:szCs w:val="21"/>
        </w:rPr>
        <w:t>顺带</w:t>
      </w:r>
      <w:r w:rsidR="00000000">
        <w:rPr>
          <w:szCs w:val="21"/>
        </w:rPr>
        <w:t>推导出配离子的离解度</w:t>
      </w:r>
      <w:r w:rsidR="00000000">
        <w:rPr>
          <w:rFonts w:hint="eastAsia"/>
          <w:bCs/>
          <w:position w:val="-10"/>
          <w:szCs w:val="21"/>
        </w:rPr>
        <w:object w:dxaOrig="1480" w:dyaOrig="319" w14:anchorId="23CC84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i1025" type="#_x0000_t75" style="width:73.9pt;height:15.95pt;mso-position-horizontal-relative:page;mso-position-vertical-relative:page" o:ole="">
            <v:imagedata r:id="rId9" o:title=""/>
          </v:shape>
          <o:OLEObject Type="Embed" ProgID="Equation.KSEE3" ShapeID="Object 3" DrawAspect="Content" ObjectID="_1828734150" r:id="rId10">
            <o:FieldCodes>\* MERGEFORMAT</o:FieldCodes>
          </o:OLEObject>
        </w:object>
      </w:r>
      <w:r w:rsidR="00000000">
        <w:rPr>
          <w:szCs w:val="21"/>
        </w:rPr>
        <w:t>。配离子的表观稳定常数</w:t>
      </w:r>
      <w:r w:rsidR="00000000">
        <w:rPr>
          <w:szCs w:val="21"/>
        </w:rPr>
        <w:t> K </w:t>
      </w:r>
      <w:r w:rsidR="00000000">
        <w:rPr>
          <w:szCs w:val="21"/>
        </w:rPr>
        <w:t>可借助以下平衡关系式进行导出：</w:t>
      </w:r>
    </w:p>
    <w:p w14:paraId="181C80CD" w14:textId="2BD5D841" w:rsidR="00F41F0C" w:rsidRDefault="006032D0">
      <w:pPr>
        <w:tabs>
          <w:tab w:val="left" w:pos="0"/>
        </w:tabs>
        <w:spacing w:line="320" w:lineRule="exact"/>
        <w:rPr>
          <w:bCs/>
          <w:szCs w:val="21"/>
        </w:rPr>
      </w:pPr>
      <w:r>
        <w:rPr>
          <w:bCs/>
          <w:noProof/>
          <w:position w:val="-80"/>
          <w:szCs w:val="21"/>
        </w:rPr>
        <w:drawing>
          <wp:anchor distT="0" distB="0" distL="114300" distR="114300" simplePos="0" relativeHeight="251656704" behindDoc="0" locked="0" layoutInCell="1" allowOverlap="1" wp14:anchorId="77F6B2BE" wp14:editId="1E25D129">
            <wp:simplePos x="0" y="0"/>
            <wp:positionH relativeFrom="column">
              <wp:posOffset>2199005</wp:posOffset>
            </wp:positionH>
            <wp:positionV relativeFrom="paragraph">
              <wp:posOffset>66040</wp:posOffset>
            </wp:positionV>
            <wp:extent cx="1727200" cy="889000"/>
            <wp:effectExtent l="0" t="0" r="0" b="0"/>
            <wp:wrapSquare wrapText="bothSides"/>
            <wp:docPr id="4" name="Objec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7200" cy="889000"/>
                    </a:xfrm>
                    <a:prstGeom prst="rect">
                      <a:avLst/>
                    </a:prstGeom>
                    <a:noFill/>
                  </pic:spPr>
                </pic:pic>
              </a:graphicData>
            </a:graphic>
            <wp14:sizeRelH relativeFrom="page">
              <wp14:pctWidth>0</wp14:pctWidth>
            </wp14:sizeRelH>
            <wp14:sizeRelV relativeFrom="page">
              <wp14:pctHeight>0</wp14:pctHeight>
            </wp14:sizeRelV>
          </wp:anchor>
        </w:drawing>
      </w:r>
    </w:p>
    <w:p w14:paraId="1885FB76" w14:textId="6CE576D8" w:rsidR="00F41F0C" w:rsidRDefault="00F41F0C">
      <w:pPr>
        <w:tabs>
          <w:tab w:val="left" w:pos="0"/>
        </w:tabs>
        <w:spacing w:line="320" w:lineRule="exact"/>
        <w:jc w:val="center"/>
        <w:rPr>
          <w:bCs/>
          <w:szCs w:val="21"/>
        </w:rPr>
      </w:pPr>
    </w:p>
    <w:p w14:paraId="396CB9A0" w14:textId="77777777" w:rsidR="00B449F6" w:rsidRDefault="00B449F6">
      <w:pPr>
        <w:tabs>
          <w:tab w:val="left" w:pos="0"/>
        </w:tabs>
        <w:spacing w:line="320" w:lineRule="exact"/>
        <w:jc w:val="center"/>
        <w:rPr>
          <w:bCs/>
          <w:szCs w:val="21"/>
        </w:rPr>
      </w:pPr>
    </w:p>
    <w:p w14:paraId="4E169417" w14:textId="77777777" w:rsidR="00B449F6" w:rsidRDefault="00B449F6">
      <w:pPr>
        <w:tabs>
          <w:tab w:val="left" w:pos="0"/>
        </w:tabs>
        <w:spacing w:line="320" w:lineRule="exact"/>
        <w:jc w:val="center"/>
        <w:rPr>
          <w:bCs/>
          <w:szCs w:val="21"/>
        </w:rPr>
      </w:pPr>
    </w:p>
    <w:p w14:paraId="670CA02D" w14:textId="77777777" w:rsidR="00F41F0C" w:rsidRDefault="00F41F0C">
      <w:pPr>
        <w:tabs>
          <w:tab w:val="left" w:pos="0"/>
        </w:tabs>
        <w:spacing w:line="320" w:lineRule="exact"/>
        <w:rPr>
          <w:b/>
          <w:szCs w:val="21"/>
        </w:rPr>
      </w:pPr>
    </w:p>
    <w:p w14:paraId="6A69D508" w14:textId="77777777" w:rsidR="00F41F0C" w:rsidRDefault="00000000">
      <w:pPr>
        <w:tabs>
          <w:tab w:val="left" w:pos="0"/>
        </w:tabs>
        <w:spacing w:line="320" w:lineRule="exact"/>
        <w:rPr>
          <w:b/>
          <w:szCs w:val="21"/>
        </w:rPr>
      </w:pPr>
      <w:r>
        <w:rPr>
          <w:rFonts w:hint="eastAsia"/>
          <w:b/>
          <w:szCs w:val="21"/>
        </w:rPr>
        <w:lastRenderedPageBreak/>
        <w:t>2.2</w:t>
      </w:r>
      <w:r>
        <w:rPr>
          <w:rFonts w:hint="eastAsia"/>
          <w:b/>
          <w:szCs w:val="21"/>
        </w:rPr>
        <w:t>磺基水杨酸合铜</w:t>
      </w:r>
    </w:p>
    <w:p w14:paraId="791E8951" w14:textId="77777777" w:rsidR="00F41F0C" w:rsidRDefault="00000000">
      <w:pPr>
        <w:tabs>
          <w:tab w:val="left" w:pos="0"/>
        </w:tabs>
        <w:spacing w:line="320" w:lineRule="exact"/>
        <w:ind w:firstLineChars="200" w:firstLine="420"/>
        <w:rPr>
          <w:bCs/>
          <w:szCs w:val="21"/>
        </w:rPr>
      </w:pPr>
      <w:r>
        <w:rPr>
          <w:szCs w:val="21"/>
        </w:rPr>
        <w:t>C</w:t>
      </w:r>
      <w:r>
        <w:rPr>
          <w:rFonts w:hint="eastAsia"/>
          <w:szCs w:val="21"/>
        </w:rPr>
        <w:t>u</w:t>
      </w:r>
      <w:r>
        <w:rPr>
          <w:rFonts w:hint="eastAsia"/>
          <w:szCs w:val="21"/>
          <w:vertAlign w:val="superscript"/>
        </w:rPr>
        <w:t>2+</w:t>
      </w:r>
      <w:r>
        <w:rPr>
          <w:szCs w:val="21"/>
        </w:rPr>
        <w:t>与磺基水杨酸（</w:t>
      </w:r>
      <w:r>
        <w:rPr>
          <w:rFonts w:hint="eastAsia"/>
          <w:bCs/>
          <w:szCs w:val="21"/>
        </w:rPr>
        <w:t>HO</w:t>
      </w:r>
      <w:r>
        <w:rPr>
          <w:rFonts w:hint="eastAsia"/>
          <w:bCs/>
          <w:szCs w:val="21"/>
          <w:vertAlign w:val="subscript"/>
        </w:rPr>
        <w:t>3</w:t>
      </w:r>
      <w:r>
        <w:rPr>
          <w:rFonts w:hint="eastAsia"/>
          <w:bCs/>
          <w:szCs w:val="21"/>
        </w:rPr>
        <w:t>SC</w:t>
      </w:r>
      <w:r>
        <w:rPr>
          <w:rFonts w:hint="eastAsia"/>
          <w:bCs/>
          <w:szCs w:val="21"/>
          <w:vertAlign w:val="subscript"/>
        </w:rPr>
        <w:t>6</w:t>
      </w:r>
      <w:r>
        <w:rPr>
          <w:rFonts w:hint="eastAsia"/>
          <w:bCs/>
          <w:szCs w:val="21"/>
        </w:rPr>
        <w:t>H</w:t>
      </w:r>
      <w:r>
        <w:rPr>
          <w:rFonts w:hint="eastAsia"/>
          <w:bCs/>
          <w:szCs w:val="21"/>
          <w:vertAlign w:val="subscript"/>
        </w:rPr>
        <w:t>3</w:t>
      </w:r>
      <w:r>
        <w:rPr>
          <w:rFonts w:hint="eastAsia"/>
          <w:bCs/>
          <w:szCs w:val="21"/>
        </w:rPr>
        <w:t>（</w:t>
      </w:r>
      <w:r>
        <w:rPr>
          <w:rFonts w:hint="eastAsia"/>
          <w:bCs/>
          <w:szCs w:val="21"/>
        </w:rPr>
        <w:t>OH</w:t>
      </w:r>
      <w:r>
        <w:rPr>
          <w:rFonts w:hint="eastAsia"/>
          <w:bCs/>
          <w:szCs w:val="21"/>
        </w:rPr>
        <w:t>）</w:t>
      </w:r>
      <w:r>
        <w:rPr>
          <w:rFonts w:hint="eastAsia"/>
          <w:bCs/>
          <w:szCs w:val="21"/>
        </w:rPr>
        <w:t>CO</w:t>
      </w:r>
      <w:r>
        <w:rPr>
          <w:rFonts w:hint="eastAsia"/>
          <w:bCs/>
          <w:szCs w:val="21"/>
          <w:vertAlign w:val="subscript"/>
        </w:rPr>
        <w:t>2</w:t>
      </w:r>
      <w:r>
        <w:rPr>
          <w:rFonts w:hint="eastAsia"/>
          <w:bCs/>
          <w:szCs w:val="21"/>
        </w:rPr>
        <w:t>H</w:t>
      </w:r>
      <w:r>
        <w:rPr>
          <w:rFonts w:hint="eastAsia"/>
          <w:bCs/>
          <w:szCs w:val="21"/>
        </w:rPr>
        <w:t>，以</w:t>
      </w:r>
      <w:r>
        <w:rPr>
          <w:rFonts w:hint="eastAsia"/>
          <w:bCs/>
          <w:szCs w:val="21"/>
        </w:rPr>
        <w:t>H</w:t>
      </w:r>
      <w:r>
        <w:rPr>
          <w:rFonts w:hint="eastAsia"/>
          <w:bCs/>
          <w:szCs w:val="21"/>
          <w:vertAlign w:val="subscript"/>
        </w:rPr>
        <w:t>3</w:t>
      </w:r>
      <w:r>
        <w:rPr>
          <w:rFonts w:hint="eastAsia"/>
          <w:bCs/>
          <w:szCs w:val="21"/>
        </w:rPr>
        <w:t>R</w:t>
      </w:r>
      <w:r>
        <w:rPr>
          <w:rFonts w:hint="eastAsia"/>
          <w:bCs/>
          <w:szCs w:val="21"/>
        </w:rPr>
        <w:t>表示</w:t>
      </w:r>
      <w:r>
        <w:rPr>
          <w:szCs w:val="21"/>
        </w:rPr>
        <w:t>）在</w:t>
      </w:r>
      <w:r>
        <w:rPr>
          <w:szCs w:val="21"/>
        </w:rPr>
        <w:t> pH </w:t>
      </w:r>
      <w:r>
        <w:rPr>
          <w:szCs w:val="21"/>
        </w:rPr>
        <w:t>值处于</w:t>
      </w:r>
      <w:r>
        <w:rPr>
          <w:szCs w:val="21"/>
        </w:rPr>
        <w:t> 4</w:t>
      </w:r>
      <w:r>
        <w:rPr>
          <w:rFonts w:hint="eastAsia"/>
          <w:szCs w:val="21"/>
        </w:rPr>
        <w:t>~</w:t>
      </w:r>
      <w:r>
        <w:rPr>
          <w:szCs w:val="21"/>
        </w:rPr>
        <w:t>5 </w:t>
      </w:r>
      <w:r>
        <w:rPr>
          <w:szCs w:val="21"/>
        </w:rPr>
        <w:t>的范围时会形成</w:t>
      </w:r>
      <w:r>
        <w:rPr>
          <w:szCs w:val="21"/>
        </w:rPr>
        <w:t> 1∶1 </w:t>
      </w:r>
      <w:r>
        <w:rPr>
          <w:szCs w:val="21"/>
        </w:rPr>
        <w:t>的亮绿色配合物，而当</w:t>
      </w:r>
      <w:r>
        <w:rPr>
          <w:szCs w:val="21"/>
        </w:rPr>
        <w:t> pH </w:t>
      </w:r>
      <w:r>
        <w:rPr>
          <w:szCs w:val="21"/>
        </w:rPr>
        <w:t>值高于</w:t>
      </w:r>
      <w:r>
        <w:rPr>
          <w:szCs w:val="21"/>
        </w:rPr>
        <w:t> 8.5 </w:t>
      </w:r>
      <w:r>
        <w:rPr>
          <w:szCs w:val="21"/>
        </w:rPr>
        <w:t>时则会形成</w:t>
      </w:r>
      <w:r>
        <w:rPr>
          <w:szCs w:val="21"/>
        </w:rPr>
        <w:t> 1∶2 </w:t>
      </w:r>
      <w:r>
        <w:rPr>
          <w:szCs w:val="21"/>
        </w:rPr>
        <w:t>的深绿色配合物。本实验采用的是前一种条件，选用波长为</w:t>
      </w:r>
      <w:r>
        <w:rPr>
          <w:szCs w:val="21"/>
        </w:rPr>
        <w:t> 440 nm </w:t>
      </w:r>
      <w:r>
        <w:rPr>
          <w:szCs w:val="21"/>
        </w:rPr>
        <w:t>的单色光来进行测定操作。在此特定的实验条件下，磺基水杨酸本身不吸收，</w:t>
      </w:r>
      <w:r>
        <w:rPr>
          <w:szCs w:val="21"/>
        </w:rPr>
        <w:t>Cu²⁺</w:t>
      </w:r>
      <w:r>
        <w:rPr>
          <w:szCs w:val="21"/>
        </w:rPr>
        <w:t>离子也几乎不吸收，而</w:t>
      </w:r>
      <w:r>
        <w:rPr>
          <w:rFonts w:hint="eastAsia"/>
          <w:szCs w:val="21"/>
        </w:rPr>
        <w:t>仅有</w:t>
      </w:r>
      <w:r>
        <w:rPr>
          <w:szCs w:val="21"/>
        </w:rPr>
        <w:t>形成的配合物具有较强的吸收能力。</w:t>
      </w:r>
    </w:p>
    <w:p w14:paraId="2386DA78" w14:textId="77777777" w:rsidR="00F41F0C" w:rsidRDefault="00F41F0C">
      <w:pPr>
        <w:tabs>
          <w:tab w:val="left" w:pos="0"/>
        </w:tabs>
        <w:spacing w:line="320" w:lineRule="exact"/>
        <w:rPr>
          <w:rFonts w:eastAsia="黑体"/>
          <w:bCs/>
          <w:szCs w:val="21"/>
        </w:rPr>
      </w:pPr>
    </w:p>
    <w:p w14:paraId="0777F2C2" w14:textId="77777777" w:rsidR="00F41F0C" w:rsidRDefault="00000000">
      <w:pPr>
        <w:tabs>
          <w:tab w:val="left" w:pos="0"/>
        </w:tabs>
        <w:spacing w:line="320" w:lineRule="exact"/>
        <w:rPr>
          <w:rFonts w:eastAsia="黑体"/>
          <w:bCs/>
          <w:sz w:val="28"/>
          <w:szCs w:val="28"/>
        </w:rPr>
      </w:pPr>
      <w:r>
        <w:rPr>
          <w:rFonts w:eastAsia="黑体" w:hint="eastAsia"/>
          <w:bCs/>
          <w:sz w:val="28"/>
          <w:szCs w:val="28"/>
        </w:rPr>
        <w:t xml:space="preserve">3  </w:t>
      </w:r>
      <w:r>
        <w:rPr>
          <w:rFonts w:eastAsia="黑体" w:hint="eastAsia"/>
          <w:bCs/>
          <w:sz w:val="28"/>
          <w:szCs w:val="28"/>
        </w:rPr>
        <w:t>实验风险评估及预防措施</w:t>
      </w:r>
    </w:p>
    <w:p w14:paraId="1FA8A2B1" w14:textId="77777777" w:rsidR="00F41F0C" w:rsidRDefault="00000000">
      <w:pPr>
        <w:tabs>
          <w:tab w:val="left" w:pos="0"/>
        </w:tabs>
        <w:spacing w:line="320" w:lineRule="exact"/>
        <w:rPr>
          <w:b/>
          <w:bCs/>
          <w:szCs w:val="21"/>
        </w:rPr>
      </w:pPr>
      <w:r>
        <w:rPr>
          <w:rFonts w:hint="eastAsia"/>
          <w:b/>
          <w:bCs/>
          <w:szCs w:val="21"/>
        </w:rPr>
        <w:t xml:space="preserve">3.1 </w:t>
      </w:r>
      <w:r>
        <w:rPr>
          <w:rFonts w:hint="eastAsia"/>
          <w:b/>
          <w:bCs/>
          <w:szCs w:val="21"/>
        </w:rPr>
        <w:t>化学品危险性评估及应急措施</w:t>
      </w:r>
    </w:p>
    <w:p w14:paraId="23762C35" w14:textId="77777777" w:rsidR="00F41F0C" w:rsidRDefault="00000000">
      <w:pPr>
        <w:tabs>
          <w:tab w:val="left" w:pos="0"/>
        </w:tabs>
        <w:spacing w:line="320" w:lineRule="exact"/>
        <w:rPr>
          <w:bCs/>
          <w:szCs w:val="21"/>
        </w:rPr>
      </w:pPr>
      <w:r>
        <w:rPr>
          <w:rFonts w:hint="eastAsia"/>
          <w:bCs/>
          <w:szCs w:val="21"/>
        </w:rPr>
        <w:t>KNO</w:t>
      </w:r>
      <w:r>
        <w:rPr>
          <w:rFonts w:hint="eastAsia"/>
          <w:bCs/>
          <w:szCs w:val="21"/>
          <w:vertAlign w:val="subscript"/>
        </w:rPr>
        <w:t>3</w:t>
      </w:r>
    </w:p>
    <w:p w14:paraId="078AA0CF" w14:textId="77777777" w:rsidR="00F41F0C" w:rsidRDefault="00000000">
      <w:pPr>
        <w:tabs>
          <w:tab w:val="left" w:pos="0"/>
        </w:tabs>
        <w:spacing w:line="320" w:lineRule="exact"/>
        <w:rPr>
          <w:bCs/>
          <w:szCs w:val="21"/>
        </w:rPr>
      </w:pPr>
      <w:r>
        <w:rPr>
          <w:rFonts w:hint="eastAsia"/>
          <w:bCs/>
          <w:szCs w:val="21"/>
        </w:rPr>
        <w:tab/>
      </w:r>
      <w:r>
        <w:rPr>
          <w:rFonts w:hint="eastAsia"/>
          <w:b/>
          <w:szCs w:val="21"/>
        </w:rPr>
        <w:t>危险说明</w:t>
      </w:r>
      <w:r>
        <w:rPr>
          <w:rFonts w:hint="eastAsia"/>
          <w:bCs/>
          <w:szCs w:val="21"/>
        </w:rPr>
        <w:t xml:space="preserve"> </w:t>
      </w:r>
    </w:p>
    <w:p w14:paraId="6C47D779"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可加剧燃烧；氧化剂；怀疑对生育能力或胎儿造成伤害；对器官造成损害；长期或重复接触</w:t>
      </w:r>
      <w:r>
        <w:rPr>
          <w:rFonts w:hint="eastAsia"/>
          <w:bCs/>
          <w:szCs w:val="21"/>
        </w:rPr>
        <w:tab/>
      </w:r>
      <w:r>
        <w:rPr>
          <w:rFonts w:hint="eastAsia"/>
          <w:bCs/>
          <w:szCs w:val="21"/>
        </w:rPr>
        <w:t>会对器官造成伤害</w:t>
      </w:r>
    </w:p>
    <w:p w14:paraId="1B223897" w14:textId="77777777" w:rsidR="00F41F0C" w:rsidRDefault="00000000">
      <w:pPr>
        <w:tabs>
          <w:tab w:val="left" w:pos="0"/>
        </w:tabs>
        <w:spacing w:line="320" w:lineRule="exact"/>
        <w:rPr>
          <w:b/>
          <w:szCs w:val="21"/>
        </w:rPr>
      </w:pPr>
      <w:r>
        <w:rPr>
          <w:rFonts w:hint="eastAsia"/>
          <w:b/>
          <w:szCs w:val="21"/>
        </w:rPr>
        <w:tab/>
      </w:r>
      <w:r>
        <w:rPr>
          <w:rFonts w:hint="eastAsia"/>
          <w:b/>
          <w:szCs w:val="21"/>
        </w:rPr>
        <w:t>预防措施</w:t>
      </w:r>
    </w:p>
    <w:p w14:paraId="0AE1C79C"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远离热源、热表面、火花、明火和其他点火源。禁止吸烟；远离服装和其他可燃材料；戴防护手套</w:t>
      </w:r>
      <w:r>
        <w:rPr>
          <w:rFonts w:hint="eastAsia"/>
          <w:bCs/>
          <w:szCs w:val="21"/>
        </w:rPr>
        <w:t>/</w:t>
      </w:r>
      <w:r>
        <w:rPr>
          <w:rFonts w:hint="eastAsia"/>
          <w:bCs/>
          <w:szCs w:val="21"/>
        </w:rPr>
        <w:t>穿防护服</w:t>
      </w:r>
      <w:r>
        <w:rPr>
          <w:rFonts w:hint="eastAsia"/>
          <w:bCs/>
          <w:szCs w:val="21"/>
        </w:rPr>
        <w:t>/</w:t>
      </w:r>
      <w:r>
        <w:rPr>
          <w:rFonts w:hint="eastAsia"/>
          <w:bCs/>
          <w:szCs w:val="21"/>
        </w:rPr>
        <w:t>戴防护眼罩</w:t>
      </w:r>
      <w:r>
        <w:rPr>
          <w:rFonts w:hint="eastAsia"/>
          <w:bCs/>
          <w:szCs w:val="21"/>
        </w:rPr>
        <w:t>/</w:t>
      </w:r>
      <w:r>
        <w:rPr>
          <w:rFonts w:hint="eastAsia"/>
          <w:bCs/>
          <w:szCs w:val="21"/>
        </w:rPr>
        <w:t>面具；使用前取得专用说明；在阅读并明了所有安全措施前切勿搬运；不要吸入粉尘</w:t>
      </w:r>
      <w:r>
        <w:rPr>
          <w:rFonts w:hint="eastAsia"/>
          <w:bCs/>
          <w:szCs w:val="21"/>
        </w:rPr>
        <w:t>/</w:t>
      </w:r>
      <w:r>
        <w:rPr>
          <w:rFonts w:hint="eastAsia"/>
          <w:bCs/>
          <w:szCs w:val="21"/>
        </w:rPr>
        <w:t>烟雾</w:t>
      </w:r>
      <w:r>
        <w:rPr>
          <w:rFonts w:hint="eastAsia"/>
          <w:bCs/>
          <w:szCs w:val="21"/>
        </w:rPr>
        <w:t>/</w:t>
      </w:r>
      <w:r>
        <w:rPr>
          <w:rFonts w:hint="eastAsia"/>
          <w:bCs/>
          <w:szCs w:val="21"/>
        </w:rPr>
        <w:t>气体</w:t>
      </w:r>
      <w:r>
        <w:rPr>
          <w:rFonts w:hint="eastAsia"/>
          <w:bCs/>
          <w:szCs w:val="21"/>
        </w:rPr>
        <w:t>/</w:t>
      </w:r>
      <w:r>
        <w:rPr>
          <w:rFonts w:hint="eastAsia"/>
          <w:bCs/>
          <w:szCs w:val="21"/>
        </w:rPr>
        <w:t>烟</w:t>
      </w:r>
      <w:r>
        <w:rPr>
          <w:rFonts w:hint="eastAsia"/>
          <w:bCs/>
          <w:szCs w:val="21"/>
        </w:rPr>
        <w:t>/</w:t>
      </w:r>
      <w:r>
        <w:rPr>
          <w:rFonts w:hint="eastAsia"/>
          <w:bCs/>
          <w:szCs w:val="21"/>
        </w:rPr>
        <w:t>蒸气</w:t>
      </w:r>
      <w:r>
        <w:rPr>
          <w:rFonts w:hint="eastAsia"/>
          <w:bCs/>
          <w:szCs w:val="21"/>
        </w:rPr>
        <w:t>/</w:t>
      </w:r>
      <w:r>
        <w:rPr>
          <w:rFonts w:hint="eastAsia"/>
          <w:bCs/>
          <w:szCs w:val="21"/>
        </w:rPr>
        <w:t>喷雾；作业后彻底清洗暴露皮肤；使用本产品时不要进食、饮水或吸烟</w:t>
      </w:r>
    </w:p>
    <w:p w14:paraId="12B35B7B" w14:textId="77777777" w:rsidR="00F41F0C" w:rsidRDefault="00000000">
      <w:pPr>
        <w:tabs>
          <w:tab w:val="left" w:pos="0"/>
        </w:tabs>
        <w:spacing w:line="320" w:lineRule="exact"/>
        <w:rPr>
          <w:b/>
          <w:szCs w:val="21"/>
        </w:rPr>
      </w:pPr>
      <w:r>
        <w:rPr>
          <w:rFonts w:hint="eastAsia"/>
          <w:bCs/>
          <w:szCs w:val="21"/>
        </w:rPr>
        <w:tab/>
      </w:r>
      <w:r>
        <w:rPr>
          <w:rFonts w:hint="eastAsia"/>
          <w:b/>
          <w:szCs w:val="21"/>
        </w:rPr>
        <w:t>应急措施</w:t>
      </w:r>
    </w:p>
    <w:p w14:paraId="05C92CD1"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如已接触或有疑虑：求医</w:t>
      </w:r>
      <w:r>
        <w:rPr>
          <w:rFonts w:hint="eastAsia"/>
          <w:bCs/>
          <w:szCs w:val="21"/>
        </w:rPr>
        <w:t>/</w:t>
      </w:r>
      <w:r>
        <w:rPr>
          <w:rFonts w:hint="eastAsia"/>
          <w:bCs/>
          <w:szCs w:val="21"/>
        </w:rPr>
        <w:t>就诊；如已接触或有疑虑：呼叫中毒急救中心</w:t>
      </w:r>
      <w:r>
        <w:rPr>
          <w:rFonts w:hint="eastAsia"/>
          <w:bCs/>
          <w:szCs w:val="21"/>
        </w:rPr>
        <w:t>/</w:t>
      </w:r>
      <w:r>
        <w:rPr>
          <w:rFonts w:hint="eastAsia"/>
          <w:bCs/>
          <w:szCs w:val="21"/>
        </w:rPr>
        <w:t>医生；如感觉不适，须求医</w:t>
      </w:r>
      <w:r>
        <w:rPr>
          <w:rFonts w:hint="eastAsia"/>
          <w:bCs/>
          <w:szCs w:val="21"/>
        </w:rPr>
        <w:t>/</w:t>
      </w:r>
      <w:r>
        <w:rPr>
          <w:rFonts w:hint="eastAsia"/>
          <w:bCs/>
          <w:szCs w:val="21"/>
        </w:rPr>
        <w:t>就诊</w:t>
      </w:r>
    </w:p>
    <w:p w14:paraId="11C90B12" w14:textId="77777777" w:rsidR="00F41F0C" w:rsidRDefault="00000000">
      <w:pPr>
        <w:tabs>
          <w:tab w:val="left" w:pos="0"/>
        </w:tabs>
        <w:spacing w:line="320" w:lineRule="exact"/>
        <w:rPr>
          <w:bCs/>
          <w:szCs w:val="21"/>
        </w:rPr>
      </w:pPr>
      <w:r>
        <w:rPr>
          <w:rFonts w:hint="eastAsia"/>
          <w:bCs/>
          <w:szCs w:val="21"/>
        </w:rPr>
        <w:t>Cu(NO</w:t>
      </w:r>
      <w:r>
        <w:rPr>
          <w:rFonts w:hint="eastAsia"/>
          <w:bCs/>
          <w:szCs w:val="21"/>
          <w:vertAlign w:val="subscript"/>
        </w:rPr>
        <w:t>3</w:t>
      </w:r>
      <w:r>
        <w:rPr>
          <w:rFonts w:hint="eastAsia"/>
          <w:bCs/>
          <w:szCs w:val="21"/>
        </w:rPr>
        <w:t>)</w:t>
      </w:r>
      <w:r>
        <w:rPr>
          <w:rFonts w:hint="eastAsia"/>
          <w:bCs/>
          <w:szCs w:val="21"/>
          <w:vertAlign w:val="subscript"/>
        </w:rPr>
        <w:t>2</w:t>
      </w:r>
    </w:p>
    <w:p w14:paraId="68BA6D68" w14:textId="77777777" w:rsidR="00F41F0C" w:rsidRDefault="00000000">
      <w:pPr>
        <w:tabs>
          <w:tab w:val="left" w:pos="0"/>
        </w:tabs>
        <w:spacing w:line="320" w:lineRule="exact"/>
        <w:rPr>
          <w:bCs/>
          <w:szCs w:val="21"/>
        </w:rPr>
      </w:pPr>
      <w:r>
        <w:rPr>
          <w:rFonts w:hint="eastAsia"/>
          <w:bCs/>
          <w:szCs w:val="21"/>
        </w:rPr>
        <w:tab/>
      </w:r>
      <w:r>
        <w:rPr>
          <w:rFonts w:hint="eastAsia"/>
          <w:b/>
          <w:szCs w:val="21"/>
        </w:rPr>
        <w:t>危险说明</w:t>
      </w:r>
      <w:r>
        <w:rPr>
          <w:rFonts w:hint="eastAsia"/>
          <w:bCs/>
          <w:szCs w:val="21"/>
        </w:rPr>
        <w:t xml:space="preserve"> </w:t>
      </w:r>
    </w:p>
    <w:p w14:paraId="53040DA4"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可加剧燃烧；氧化剂；对水生生物毒性极大；对水生生物毒性极大并具有长期持续影响</w:t>
      </w:r>
    </w:p>
    <w:p w14:paraId="5D8C24C4" w14:textId="77777777" w:rsidR="00F41F0C" w:rsidRDefault="00000000">
      <w:pPr>
        <w:tabs>
          <w:tab w:val="left" w:pos="0"/>
        </w:tabs>
        <w:spacing w:line="320" w:lineRule="exact"/>
        <w:rPr>
          <w:b/>
          <w:szCs w:val="21"/>
        </w:rPr>
      </w:pPr>
      <w:r>
        <w:rPr>
          <w:rFonts w:hint="eastAsia"/>
          <w:b/>
          <w:szCs w:val="21"/>
        </w:rPr>
        <w:tab/>
      </w:r>
      <w:r>
        <w:rPr>
          <w:rFonts w:hint="eastAsia"/>
          <w:b/>
          <w:szCs w:val="21"/>
        </w:rPr>
        <w:t>预防措施</w:t>
      </w:r>
    </w:p>
    <w:p w14:paraId="646B6B63"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远离热源、热表面、火花、明火和其他点火源。禁止吸烟；远离服装和其他可燃材料；戴防护手</w:t>
      </w:r>
      <w:r>
        <w:rPr>
          <w:rFonts w:hint="eastAsia"/>
          <w:bCs/>
          <w:szCs w:val="21"/>
        </w:rPr>
        <w:tab/>
      </w:r>
      <w:r>
        <w:rPr>
          <w:rFonts w:hint="eastAsia"/>
          <w:bCs/>
          <w:szCs w:val="21"/>
        </w:rPr>
        <w:t>套</w:t>
      </w:r>
      <w:r>
        <w:rPr>
          <w:rFonts w:hint="eastAsia"/>
          <w:bCs/>
          <w:szCs w:val="21"/>
        </w:rPr>
        <w:t>/</w:t>
      </w:r>
      <w:r>
        <w:rPr>
          <w:rFonts w:hint="eastAsia"/>
          <w:bCs/>
          <w:szCs w:val="21"/>
        </w:rPr>
        <w:t>穿防护服</w:t>
      </w:r>
      <w:r>
        <w:rPr>
          <w:rFonts w:hint="eastAsia"/>
          <w:bCs/>
          <w:szCs w:val="21"/>
        </w:rPr>
        <w:t>/</w:t>
      </w:r>
      <w:r>
        <w:rPr>
          <w:rFonts w:hint="eastAsia"/>
          <w:bCs/>
          <w:szCs w:val="21"/>
        </w:rPr>
        <w:t>戴防护眼罩</w:t>
      </w:r>
      <w:r>
        <w:rPr>
          <w:rFonts w:hint="eastAsia"/>
          <w:bCs/>
          <w:szCs w:val="21"/>
        </w:rPr>
        <w:t>/</w:t>
      </w:r>
      <w:r>
        <w:rPr>
          <w:rFonts w:hint="eastAsia"/>
          <w:bCs/>
          <w:szCs w:val="21"/>
        </w:rPr>
        <w:t>面具；避免释放到环境中</w:t>
      </w:r>
    </w:p>
    <w:p w14:paraId="08039C4B" w14:textId="77777777" w:rsidR="00F41F0C" w:rsidRDefault="00000000">
      <w:pPr>
        <w:tabs>
          <w:tab w:val="left" w:pos="0"/>
        </w:tabs>
        <w:spacing w:line="320" w:lineRule="exact"/>
        <w:rPr>
          <w:b/>
          <w:szCs w:val="21"/>
        </w:rPr>
      </w:pPr>
      <w:r>
        <w:rPr>
          <w:rFonts w:hint="eastAsia"/>
          <w:bCs/>
          <w:szCs w:val="21"/>
        </w:rPr>
        <w:tab/>
      </w:r>
      <w:r>
        <w:rPr>
          <w:rFonts w:hint="eastAsia"/>
          <w:b/>
          <w:szCs w:val="21"/>
        </w:rPr>
        <w:t>应急措施</w:t>
      </w:r>
    </w:p>
    <w:p w14:paraId="0D8FAF3C"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收集溢出物</w:t>
      </w:r>
    </w:p>
    <w:p w14:paraId="5C4236EF" w14:textId="77777777" w:rsidR="00F41F0C" w:rsidRDefault="00000000">
      <w:pPr>
        <w:tabs>
          <w:tab w:val="left" w:pos="0"/>
        </w:tabs>
        <w:spacing w:line="320" w:lineRule="exact"/>
        <w:rPr>
          <w:bCs/>
          <w:szCs w:val="21"/>
          <w:vertAlign w:val="subscript"/>
        </w:rPr>
      </w:pPr>
      <w:r>
        <w:rPr>
          <w:rFonts w:hint="eastAsia"/>
          <w:szCs w:val="21"/>
        </w:rPr>
        <w:t>NaOH</w:t>
      </w:r>
    </w:p>
    <w:p w14:paraId="73425A1E" w14:textId="77777777" w:rsidR="00F41F0C" w:rsidRDefault="00000000">
      <w:pPr>
        <w:tabs>
          <w:tab w:val="left" w:pos="0"/>
        </w:tabs>
        <w:spacing w:line="320" w:lineRule="exact"/>
        <w:rPr>
          <w:bCs/>
          <w:szCs w:val="21"/>
        </w:rPr>
      </w:pPr>
      <w:r>
        <w:rPr>
          <w:rFonts w:hint="eastAsia"/>
          <w:bCs/>
          <w:szCs w:val="21"/>
          <w:vertAlign w:val="subscript"/>
        </w:rPr>
        <w:tab/>
      </w:r>
      <w:r>
        <w:rPr>
          <w:rFonts w:hint="eastAsia"/>
          <w:b/>
          <w:szCs w:val="21"/>
        </w:rPr>
        <w:t>危险说明</w:t>
      </w:r>
      <w:r>
        <w:rPr>
          <w:rFonts w:hint="eastAsia"/>
          <w:bCs/>
          <w:szCs w:val="21"/>
        </w:rPr>
        <w:t xml:space="preserve"> </w:t>
      </w:r>
    </w:p>
    <w:p w14:paraId="5388354C"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造成严重皮肤灼伤和眼损伤。</w:t>
      </w:r>
      <w:r>
        <w:rPr>
          <w:rFonts w:ascii="宋体" w:hAnsi="宋体" w:cs="宋体"/>
          <w:szCs w:val="21"/>
        </w:rPr>
        <w:t>造成严重眼</w:t>
      </w:r>
      <w:r>
        <w:rPr>
          <w:rFonts w:ascii="宋体" w:hAnsi="宋体" w:cs="宋体" w:hint="eastAsia"/>
          <w:szCs w:val="21"/>
        </w:rPr>
        <w:t>刺激</w:t>
      </w:r>
    </w:p>
    <w:p w14:paraId="2B717CF4" w14:textId="77777777" w:rsidR="00F41F0C" w:rsidRDefault="00000000">
      <w:pPr>
        <w:tabs>
          <w:tab w:val="left" w:pos="0"/>
        </w:tabs>
        <w:spacing w:line="320" w:lineRule="exact"/>
        <w:rPr>
          <w:b/>
          <w:szCs w:val="21"/>
        </w:rPr>
      </w:pPr>
      <w:r>
        <w:rPr>
          <w:rFonts w:hint="eastAsia"/>
          <w:b/>
          <w:szCs w:val="21"/>
        </w:rPr>
        <w:tab/>
      </w:r>
      <w:r>
        <w:rPr>
          <w:rFonts w:hint="eastAsia"/>
          <w:b/>
          <w:szCs w:val="21"/>
        </w:rPr>
        <w:t>预防措施</w:t>
      </w:r>
    </w:p>
    <w:p w14:paraId="3BD35609" w14:textId="77777777" w:rsidR="00F41F0C" w:rsidRDefault="00000000">
      <w:pPr>
        <w:tabs>
          <w:tab w:val="left" w:pos="0"/>
        </w:tabs>
        <w:spacing w:line="320" w:lineRule="exact"/>
        <w:rPr>
          <w:bCs/>
          <w:szCs w:val="21"/>
        </w:rPr>
      </w:pPr>
      <w:r>
        <w:rPr>
          <w:rFonts w:hint="eastAsia"/>
          <w:bCs/>
          <w:szCs w:val="21"/>
        </w:rPr>
        <w:tab/>
      </w:r>
      <w:r>
        <w:rPr>
          <w:rFonts w:hint="eastAsia"/>
          <w:bCs/>
          <w:szCs w:val="21"/>
        </w:rPr>
        <w:tab/>
      </w:r>
      <w:r>
        <w:rPr>
          <w:rFonts w:hint="eastAsia"/>
          <w:bCs/>
          <w:szCs w:val="21"/>
        </w:rPr>
        <w:t>不要吸入粉尘</w:t>
      </w:r>
      <w:r>
        <w:rPr>
          <w:rFonts w:hint="eastAsia"/>
          <w:bCs/>
          <w:szCs w:val="21"/>
        </w:rPr>
        <w:t>/</w:t>
      </w:r>
      <w:r>
        <w:rPr>
          <w:rFonts w:hint="eastAsia"/>
          <w:bCs/>
          <w:szCs w:val="21"/>
        </w:rPr>
        <w:t>烟雾。作业后彻底清洗暴露皮肤。戴防护手套</w:t>
      </w:r>
      <w:r>
        <w:rPr>
          <w:rFonts w:hint="eastAsia"/>
          <w:bCs/>
          <w:szCs w:val="21"/>
        </w:rPr>
        <w:t>/</w:t>
      </w:r>
      <w:r>
        <w:rPr>
          <w:rFonts w:hint="eastAsia"/>
          <w:bCs/>
          <w:szCs w:val="21"/>
        </w:rPr>
        <w:t>穿防护服</w:t>
      </w:r>
      <w:r>
        <w:rPr>
          <w:rFonts w:hint="eastAsia"/>
          <w:bCs/>
          <w:szCs w:val="21"/>
        </w:rPr>
        <w:t>/</w:t>
      </w:r>
      <w:r>
        <w:rPr>
          <w:rFonts w:hint="eastAsia"/>
          <w:bCs/>
          <w:szCs w:val="21"/>
        </w:rPr>
        <w:t>戴防护眼罩</w:t>
      </w:r>
      <w:r>
        <w:rPr>
          <w:rFonts w:hint="eastAsia"/>
          <w:bCs/>
          <w:szCs w:val="21"/>
        </w:rPr>
        <w:t>/</w:t>
      </w:r>
      <w:r>
        <w:rPr>
          <w:rFonts w:hint="eastAsia"/>
          <w:bCs/>
          <w:szCs w:val="21"/>
        </w:rPr>
        <w:t>戴防护面具</w:t>
      </w:r>
    </w:p>
    <w:p w14:paraId="3598765B" w14:textId="77777777" w:rsidR="00F41F0C" w:rsidRDefault="00000000">
      <w:pPr>
        <w:tabs>
          <w:tab w:val="left" w:pos="0"/>
        </w:tabs>
        <w:spacing w:line="320" w:lineRule="exact"/>
        <w:rPr>
          <w:rFonts w:ascii="宋体" w:hAnsi="宋体" w:cs="宋体" w:hint="eastAsia"/>
          <w:bCs/>
          <w:szCs w:val="21"/>
        </w:rPr>
      </w:pPr>
      <w:r>
        <w:rPr>
          <w:rFonts w:hint="eastAsia"/>
          <w:bCs/>
          <w:szCs w:val="21"/>
        </w:rPr>
        <w:tab/>
      </w:r>
      <w:r>
        <w:rPr>
          <w:rFonts w:hint="eastAsia"/>
          <w:b/>
          <w:szCs w:val="21"/>
        </w:rPr>
        <w:t>应急措施</w:t>
      </w:r>
    </w:p>
    <w:p w14:paraId="350147CB" w14:textId="77777777" w:rsidR="00F41F0C" w:rsidRDefault="00000000">
      <w:pPr>
        <w:tabs>
          <w:tab w:val="left" w:pos="0"/>
        </w:tabs>
        <w:spacing w:line="320" w:lineRule="exact"/>
        <w:rPr>
          <w:bCs/>
          <w:szCs w:val="21"/>
        </w:rPr>
      </w:pPr>
      <w:r>
        <w:rPr>
          <w:rFonts w:ascii="宋体" w:hAnsi="宋体" w:cs="宋体" w:hint="eastAsia"/>
          <w:bCs/>
          <w:szCs w:val="21"/>
        </w:rPr>
        <w:tab/>
      </w:r>
      <w:r>
        <w:rPr>
          <w:rFonts w:ascii="宋体" w:hAnsi="宋体" w:cs="宋体" w:hint="eastAsia"/>
          <w:bCs/>
          <w:szCs w:val="21"/>
        </w:rPr>
        <w:tab/>
        <w:t>如误吞咽：漱口。不得诱导呕吐。如皮肤(或头发)沾染：立即脱掉所有沾染的衣服。用水清洗皮</w:t>
      </w:r>
      <w:r>
        <w:rPr>
          <w:rFonts w:ascii="宋体" w:hAnsi="宋体" w:cs="宋体" w:hint="eastAsia"/>
          <w:bCs/>
          <w:szCs w:val="21"/>
        </w:rPr>
        <w:tab/>
        <w:t>肤[或淋浴]。沾染的衣服清洗后方可重新使用。如误吸入：将人转移到空气新鲜处，保持呼吸舒适体</w:t>
      </w:r>
      <w:r>
        <w:rPr>
          <w:rFonts w:ascii="宋体" w:hAnsi="宋体" w:cs="宋体" w:hint="eastAsia"/>
          <w:bCs/>
          <w:szCs w:val="21"/>
        </w:rPr>
        <w:lastRenderedPageBreak/>
        <w:tab/>
        <w:t>位；立即呼叫中毒急救中心/医生。如进入眼睛：用水小心冲洗几分钟。如戴隐形眼镜并可方便地取</w:t>
      </w:r>
      <w:r>
        <w:rPr>
          <w:rFonts w:ascii="宋体" w:hAnsi="宋体" w:cs="宋体" w:hint="eastAsia"/>
          <w:bCs/>
          <w:szCs w:val="21"/>
        </w:rPr>
        <w:tab/>
        <w:t>出，取出隐形眼镜。继续冲洗。</w:t>
      </w:r>
    </w:p>
    <w:p w14:paraId="0D2BFC35" w14:textId="77777777" w:rsidR="00F41F0C" w:rsidRDefault="00000000">
      <w:pPr>
        <w:tabs>
          <w:tab w:val="left" w:pos="0"/>
        </w:tabs>
        <w:spacing w:line="320" w:lineRule="exact"/>
        <w:rPr>
          <w:b/>
          <w:bCs/>
          <w:szCs w:val="21"/>
        </w:rPr>
      </w:pPr>
      <w:r>
        <w:rPr>
          <w:rFonts w:hint="eastAsia"/>
          <w:b/>
          <w:bCs/>
          <w:szCs w:val="21"/>
        </w:rPr>
        <w:t xml:space="preserve">3.2 </w:t>
      </w:r>
      <w:r>
        <w:rPr>
          <w:rFonts w:hint="eastAsia"/>
          <w:b/>
          <w:bCs/>
          <w:szCs w:val="21"/>
        </w:rPr>
        <w:t>设备危险性评估及应急措施</w:t>
      </w:r>
    </w:p>
    <w:p w14:paraId="6B773F57" w14:textId="77777777" w:rsidR="00F41F0C" w:rsidRDefault="00000000">
      <w:pPr>
        <w:tabs>
          <w:tab w:val="left" w:pos="0"/>
        </w:tabs>
        <w:spacing w:line="320" w:lineRule="exact"/>
        <w:rPr>
          <w:szCs w:val="21"/>
        </w:rPr>
      </w:pPr>
      <w:r>
        <w:rPr>
          <w:rFonts w:hint="eastAsia"/>
          <w:szCs w:val="21"/>
        </w:rPr>
        <w:tab/>
      </w:r>
      <w:r w:rsidR="00072122">
        <w:rPr>
          <w:rFonts w:hint="eastAsia"/>
          <w:szCs w:val="21"/>
        </w:rPr>
        <w:t>无</w:t>
      </w:r>
      <w:r>
        <w:rPr>
          <w:rFonts w:hint="eastAsia"/>
          <w:szCs w:val="21"/>
        </w:rPr>
        <w:t>。</w:t>
      </w:r>
    </w:p>
    <w:p w14:paraId="58C5CE63" w14:textId="77777777" w:rsidR="00F41F0C" w:rsidRDefault="00000000">
      <w:pPr>
        <w:tabs>
          <w:tab w:val="left" w:pos="0"/>
        </w:tabs>
        <w:spacing w:line="320" w:lineRule="exact"/>
        <w:rPr>
          <w:b/>
          <w:bCs/>
          <w:szCs w:val="21"/>
        </w:rPr>
      </w:pPr>
      <w:r>
        <w:rPr>
          <w:rFonts w:hint="eastAsia"/>
          <w:b/>
          <w:bCs/>
          <w:szCs w:val="21"/>
        </w:rPr>
        <w:t xml:space="preserve">3.3 </w:t>
      </w:r>
      <w:r>
        <w:rPr>
          <w:rFonts w:hint="eastAsia"/>
          <w:b/>
          <w:bCs/>
          <w:szCs w:val="21"/>
        </w:rPr>
        <w:t>操作过程危险性评估及应急措施</w:t>
      </w:r>
    </w:p>
    <w:p w14:paraId="378B8774" w14:textId="77777777" w:rsidR="00F41F0C" w:rsidRDefault="00000000">
      <w:pPr>
        <w:tabs>
          <w:tab w:val="left" w:pos="0"/>
        </w:tabs>
        <w:spacing w:line="320" w:lineRule="exact"/>
        <w:rPr>
          <w:szCs w:val="21"/>
        </w:rPr>
      </w:pPr>
      <w:r>
        <w:rPr>
          <w:rFonts w:hint="eastAsia"/>
          <w:szCs w:val="21"/>
        </w:rPr>
        <w:tab/>
      </w:r>
      <w:r w:rsidR="00072122">
        <w:rPr>
          <w:rFonts w:hint="eastAsia"/>
          <w:szCs w:val="21"/>
        </w:rPr>
        <w:t>无</w:t>
      </w:r>
      <w:r>
        <w:rPr>
          <w:rFonts w:hint="eastAsia"/>
          <w:szCs w:val="21"/>
        </w:rPr>
        <w:t>。</w:t>
      </w:r>
    </w:p>
    <w:p w14:paraId="7ED83EA9" w14:textId="77777777" w:rsidR="00F41F0C" w:rsidRDefault="00000000">
      <w:pPr>
        <w:tabs>
          <w:tab w:val="left" w:pos="0"/>
        </w:tabs>
        <w:spacing w:beforeLines="100" w:before="315" w:line="320" w:lineRule="exact"/>
        <w:rPr>
          <w:rFonts w:eastAsia="黑体"/>
          <w:bCs/>
          <w:sz w:val="28"/>
          <w:szCs w:val="28"/>
        </w:rPr>
      </w:pPr>
      <w:r>
        <w:rPr>
          <w:rFonts w:eastAsia="黑体" w:hint="eastAsia"/>
          <w:bCs/>
          <w:sz w:val="28"/>
          <w:szCs w:val="28"/>
        </w:rPr>
        <w:t xml:space="preserve">4  </w:t>
      </w:r>
      <w:r>
        <w:rPr>
          <w:rFonts w:eastAsia="黑体" w:hint="eastAsia"/>
          <w:bCs/>
          <w:sz w:val="28"/>
          <w:szCs w:val="28"/>
        </w:rPr>
        <w:t>实验部分</w:t>
      </w:r>
    </w:p>
    <w:p w14:paraId="48E8CB36" w14:textId="77777777" w:rsidR="00F41F0C" w:rsidRDefault="00000000">
      <w:pPr>
        <w:tabs>
          <w:tab w:val="left" w:pos="0"/>
        </w:tabs>
        <w:spacing w:line="320" w:lineRule="exact"/>
        <w:rPr>
          <w:b/>
          <w:bCs/>
          <w:szCs w:val="21"/>
        </w:rPr>
      </w:pPr>
      <w:r>
        <w:rPr>
          <w:rFonts w:hint="eastAsia"/>
          <w:b/>
          <w:bCs/>
          <w:szCs w:val="21"/>
        </w:rPr>
        <w:t xml:space="preserve">4.1 </w:t>
      </w:r>
      <w:r>
        <w:rPr>
          <w:rFonts w:hint="eastAsia"/>
          <w:b/>
          <w:bCs/>
          <w:szCs w:val="21"/>
        </w:rPr>
        <w:t>等摩尔系列法测定溶液的配制</w:t>
      </w:r>
    </w:p>
    <w:p w14:paraId="25C8AD29" w14:textId="77777777" w:rsidR="00F41F0C" w:rsidRDefault="00000000">
      <w:pPr>
        <w:tabs>
          <w:tab w:val="left" w:pos="0"/>
        </w:tabs>
        <w:spacing w:line="320" w:lineRule="exact"/>
        <w:rPr>
          <w:b/>
          <w:bCs/>
          <w:szCs w:val="21"/>
        </w:rPr>
      </w:pPr>
      <w:r>
        <w:rPr>
          <w:rFonts w:hint="eastAsia"/>
          <w:szCs w:val="21"/>
        </w:rPr>
        <w:tab/>
      </w:r>
      <w:r>
        <w:rPr>
          <w:szCs w:val="21"/>
        </w:rPr>
        <w:t>用</w:t>
      </w:r>
      <w:r>
        <w:rPr>
          <w:szCs w:val="21"/>
        </w:rPr>
        <w:t>0.05 mol· L</w:t>
      </w:r>
      <w:r>
        <w:rPr>
          <w:szCs w:val="21"/>
          <w:vertAlign w:val="superscript"/>
        </w:rPr>
        <w:t>-</w:t>
      </w:r>
      <w:r>
        <w:rPr>
          <w:rFonts w:hint="eastAsia"/>
          <w:szCs w:val="21"/>
          <w:vertAlign w:val="superscript"/>
        </w:rPr>
        <w:t>1</w:t>
      </w:r>
      <w:r>
        <w:rPr>
          <w:szCs w:val="21"/>
        </w:rPr>
        <w:t>硝酸铜溶液和</w:t>
      </w:r>
      <w:r>
        <w:rPr>
          <w:szCs w:val="21"/>
        </w:rPr>
        <w:t>0.05 mol· L</w:t>
      </w:r>
      <w:r>
        <w:rPr>
          <w:szCs w:val="21"/>
          <w:vertAlign w:val="superscript"/>
        </w:rPr>
        <w:t>-1</w:t>
      </w:r>
      <w:r>
        <w:rPr>
          <w:szCs w:val="21"/>
        </w:rPr>
        <w:t>磺基水杨酸溶液</w:t>
      </w:r>
      <w:r>
        <w:rPr>
          <w:rFonts w:hint="eastAsia"/>
          <w:szCs w:val="21"/>
        </w:rPr>
        <w:t>。配制溶液时，</w:t>
      </w:r>
      <w:r>
        <w:rPr>
          <w:szCs w:val="21"/>
        </w:rPr>
        <w:t>两者</w:t>
      </w:r>
      <w:r>
        <w:rPr>
          <w:rFonts w:hint="eastAsia"/>
          <w:szCs w:val="21"/>
        </w:rPr>
        <w:t>溶剂都选择用</w:t>
      </w:r>
      <w:r>
        <w:rPr>
          <w:szCs w:val="21"/>
        </w:rPr>
        <w:t>0.1mol· L</w:t>
      </w:r>
      <w:r>
        <w:rPr>
          <w:rFonts w:hint="eastAsia"/>
          <w:szCs w:val="21"/>
          <w:vertAlign w:val="superscript"/>
        </w:rPr>
        <w:t>-</w:t>
      </w:r>
      <w:r>
        <w:rPr>
          <w:szCs w:val="21"/>
          <w:vertAlign w:val="superscript"/>
        </w:rPr>
        <w:t>1</w:t>
      </w:r>
      <w:r>
        <w:rPr>
          <w:szCs w:val="21"/>
        </w:rPr>
        <w:t xml:space="preserve"> KNO</w:t>
      </w:r>
      <w:r>
        <w:rPr>
          <w:szCs w:val="21"/>
          <w:vertAlign w:val="subscript"/>
        </w:rPr>
        <w:t>3</w:t>
      </w:r>
      <w:r>
        <w:rPr>
          <w:szCs w:val="21"/>
        </w:rPr>
        <w:t>溶液，</w:t>
      </w:r>
      <w:r>
        <w:rPr>
          <w:rFonts w:hint="eastAsia"/>
          <w:szCs w:val="21"/>
        </w:rPr>
        <w:t>（该</w:t>
      </w:r>
      <w:r>
        <w:rPr>
          <w:szCs w:val="21"/>
        </w:rPr>
        <w:t>浓度须经过标定</w:t>
      </w:r>
      <w:r>
        <w:rPr>
          <w:rFonts w:hint="eastAsia"/>
          <w:szCs w:val="21"/>
        </w:rPr>
        <w:t>）</w:t>
      </w:r>
      <w:r>
        <w:rPr>
          <w:szCs w:val="21"/>
        </w:rPr>
        <w:t>，中</w:t>
      </w:r>
      <w:r>
        <w:rPr>
          <w:rFonts w:hint="eastAsia"/>
          <w:szCs w:val="21"/>
        </w:rPr>
        <w:t>按</w:t>
      </w:r>
      <w:r>
        <w:rPr>
          <w:szCs w:val="21"/>
        </w:rPr>
        <w:t>下表所列体积比</w:t>
      </w:r>
      <w:r>
        <w:rPr>
          <w:rFonts w:hint="eastAsia"/>
          <w:szCs w:val="21"/>
        </w:rPr>
        <w:t>，用</w:t>
      </w:r>
      <w:r>
        <w:rPr>
          <w:szCs w:val="21"/>
        </w:rPr>
        <w:t>13</w:t>
      </w:r>
      <w:r>
        <w:rPr>
          <w:szCs w:val="21"/>
        </w:rPr>
        <w:t>个</w:t>
      </w:r>
      <w:r>
        <w:rPr>
          <w:szCs w:val="21"/>
        </w:rPr>
        <w:t>50 mL</w:t>
      </w:r>
      <w:r>
        <w:rPr>
          <w:szCs w:val="21"/>
        </w:rPr>
        <w:t>烧杯配制</w:t>
      </w:r>
      <w:r>
        <w:rPr>
          <w:rFonts w:hint="eastAsia"/>
          <w:szCs w:val="21"/>
        </w:rPr>
        <w:t>该</w:t>
      </w:r>
      <w:r>
        <w:rPr>
          <w:szCs w:val="21"/>
        </w:rPr>
        <w:t>混合溶液（用吸量管量取溶液）</w:t>
      </w:r>
      <w:r>
        <w:rPr>
          <w:rFonts w:hint="eastAsia"/>
          <w:szCs w:val="21"/>
        </w:rPr>
        <w:t>。</w:t>
      </w:r>
    </w:p>
    <w:p w14:paraId="1EA7CFDE" w14:textId="77777777" w:rsidR="00F41F0C" w:rsidRDefault="00000000">
      <w:pPr>
        <w:tabs>
          <w:tab w:val="left" w:pos="0"/>
        </w:tabs>
        <w:spacing w:line="320" w:lineRule="exact"/>
        <w:rPr>
          <w:szCs w:val="21"/>
        </w:rPr>
      </w:pPr>
      <w:r>
        <w:rPr>
          <w:rFonts w:hint="eastAsia"/>
          <w:b/>
          <w:bCs/>
          <w:szCs w:val="21"/>
        </w:rPr>
        <w:t>4.</w:t>
      </w:r>
      <w:r>
        <w:rPr>
          <w:b/>
          <w:bCs/>
          <w:szCs w:val="21"/>
        </w:rPr>
        <w:t xml:space="preserve">2 </w:t>
      </w:r>
      <w:r>
        <w:rPr>
          <w:b/>
          <w:bCs/>
          <w:szCs w:val="21"/>
        </w:rPr>
        <w:t>测量溶液</w:t>
      </w:r>
      <w:r>
        <w:rPr>
          <w:b/>
          <w:bCs/>
          <w:szCs w:val="21"/>
        </w:rPr>
        <w:t>pH</w:t>
      </w:r>
      <w:r>
        <w:rPr>
          <w:b/>
          <w:bCs/>
          <w:szCs w:val="21"/>
        </w:rPr>
        <w:t>的调节</w:t>
      </w:r>
    </w:p>
    <w:p w14:paraId="26DE468D" w14:textId="77777777" w:rsidR="00F41F0C" w:rsidRDefault="00000000">
      <w:pPr>
        <w:tabs>
          <w:tab w:val="left" w:pos="0"/>
        </w:tabs>
        <w:spacing w:line="320" w:lineRule="exact"/>
        <w:ind w:firstLineChars="200" w:firstLine="420"/>
        <w:rPr>
          <w:szCs w:val="21"/>
        </w:rPr>
      </w:pPr>
      <w:r>
        <w:rPr>
          <w:rFonts w:hint="eastAsia"/>
          <w:szCs w:val="21"/>
        </w:rPr>
        <w:t>按顺序</w:t>
      </w:r>
      <w:r>
        <w:rPr>
          <w:szCs w:val="21"/>
        </w:rPr>
        <w:t>在每一个编号的混合液中插入电极，并使其与酸度计相连接，在磁搅的情况下，</w:t>
      </w:r>
      <w:r>
        <w:rPr>
          <w:rFonts w:hint="eastAsia"/>
          <w:szCs w:val="21"/>
        </w:rPr>
        <w:t>缓</w:t>
      </w:r>
      <w:r>
        <w:rPr>
          <w:szCs w:val="21"/>
        </w:rPr>
        <w:t>慢滴加</w:t>
      </w:r>
      <w:r>
        <w:rPr>
          <w:szCs w:val="21"/>
        </w:rPr>
        <w:t xml:space="preserve"> 1 mol·L</w:t>
      </w:r>
      <w:r>
        <w:rPr>
          <w:szCs w:val="21"/>
          <w:vertAlign w:val="superscript"/>
        </w:rPr>
        <w:t>-1</w:t>
      </w:r>
      <w:r>
        <w:rPr>
          <w:rFonts w:hint="eastAsia"/>
          <w:szCs w:val="21"/>
          <w:vertAlign w:val="superscript"/>
        </w:rPr>
        <w:t xml:space="preserve"> </w:t>
      </w:r>
      <w:r>
        <w:rPr>
          <w:szCs w:val="21"/>
        </w:rPr>
        <w:t>的</w:t>
      </w:r>
      <w:r>
        <w:rPr>
          <w:szCs w:val="21"/>
        </w:rPr>
        <w:t xml:space="preserve"> NaOH </w:t>
      </w:r>
      <w:r>
        <w:rPr>
          <w:szCs w:val="21"/>
        </w:rPr>
        <w:t>溶液来调节</w:t>
      </w:r>
      <w:r>
        <w:rPr>
          <w:rFonts w:hint="eastAsia"/>
          <w:szCs w:val="21"/>
        </w:rPr>
        <w:t xml:space="preserve"> </w:t>
      </w:r>
      <w:r>
        <w:rPr>
          <w:szCs w:val="21"/>
        </w:rPr>
        <w:t xml:space="preserve">pH </w:t>
      </w:r>
      <w:r>
        <w:rPr>
          <w:rFonts w:hint="eastAsia"/>
          <w:szCs w:val="21"/>
        </w:rPr>
        <w:t>至</w:t>
      </w:r>
      <w:r>
        <w:rPr>
          <w:szCs w:val="21"/>
        </w:rPr>
        <w:t xml:space="preserve"> 4 </w:t>
      </w:r>
      <w:r>
        <w:rPr>
          <w:szCs w:val="21"/>
        </w:rPr>
        <w:t>左右。之后改用</w:t>
      </w:r>
      <w:r>
        <w:rPr>
          <w:szCs w:val="21"/>
        </w:rPr>
        <w:t xml:space="preserve"> 0.05 mol·L</w:t>
      </w:r>
      <w:r>
        <w:rPr>
          <w:szCs w:val="21"/>
          <w:vertAlign w:val="superscript"/>
        </w:rPr>
        <w:t>-1</w:t>
      </w:r>
      <w:r>
        <w:rPr>
          <w:szCs w:val="21"/>
        </w:rPr>
        <w:t xml:space="preserve"> </w:t>
      </w:r>
      <w:r>
        <w:rPr>
          <w:szCs w:val="21"/>
        </w:rPr>
        <w:t>的</w:t>
      </w:r>
      <w:r>
        <w:rPr>
          <w:szCs w:val="21"/>
        </w:rPr>
        <w:t xml:space="preserve"> NaOH </w:t>
      </w:r>
      <w:r>
        <w:rPr>
          <w:szCs w:val="21"/>
        </w:rPr>
        <w:t>溶液小心地将</w:t>
      </w:r>
      <w:r>
        <w:rPr>
          <w:szCs w:val="21"/>
        </w:rPr>
        <w:t xml:space="preserve"> pH </w:t>
      </w:r>
      <w:r>
        <w:rPr>
          <w:szCs w:val="21"/>
        </w:rPr>
        <w:t>调节在</w:t>
      </w:r>
      <w:r>
        <w:rPr>
          <w:szCs w:val="21"/>
        </w:rPr>
        <w:t xml:space="preserve"> 4.0</w:t>
      </w:r>
      <w:r>
        <w:rPr>
          <w:szCs w:val="21"/>
        </w:rPr>
        <w:t>～</w:t>
      </w:r>
      <w:r>
        <w:rPr>
          <w:szCs w:val="21"/>
        </w:rPr>
        <w:t xml:space="preserve">4.5 </w:t>
      </w:r>
      <w:r>
        <w:rPr>
          <w:szCs w:val="21"/>
        </w:rPr>
        <w:t>的区间内</w:t>
      </w:r>
      <w:r>
        <w:rPr>
          <w:rFonts w:hint="eastAsia"/>
          <w:szCs w:val="21"/>
        </w:rPr>
        <w:t>。</w:t>
      </w:r>
      <w:r>
        <w:rPr>
          <w:szCs w:val="21"/>
        </w:rPr>
        <w:t>此时溶液的颜色呈现为黄绿色，</w:t>
      </w:r>
      <w:r>
        <w:rPr>
          <w:rFonts w:hint="eastAsia"/>
          <w:szCs w:val="21"/>
        </w:rPr>
        <w:t>无</w:t>
      </w:r>
      <w:r>
        <w:rPr>
          <w:szCs w:val="21"/>
        </w:rPr>
        <w:t>沉淀产生，若沉淀，说明</w:t>
      </w:r>
      <w:r>
        <w:rPr>
          <w:szCs w:val="21"/>
        </w:rPr>
        <w:t xml:space="preserve"> pH </w:t>
      </w:r>
      <w:r>
        <w:rPr>
          <w:szCs w:val="21"/>
        </w:rPr>
        <w:t>值过高，</w:t>
      </w:r>
      <w:r>
        <w:rPr>
          <w:szCs w:val="21"/>
        </w:rPr>
        <w:t>Cu²⁺</w:t>
      </w:r>
      <w:r>
        <w:rPr>
          <w:szCs w:val="21"/>
        </w:rPr>
        <w:t>离子已经发生了水解</w:t>
      </w:r>
      <w:r>
        <w:rPr>
          <w:rFonts w:hint="eastAsia"/>
          <w:szCs w:val="21"/>
        </w:rPr>
        <w:t>，需继续调整（见后文）</w:t>
      </w:r>
      <w:r>
        <w:rPr>
          <w:szCs w:val="21"/>
        </w:rPr>
        <w:t>。若</w:t>
      </w:r>
      <w:r>
        <w:rPr>
          <w:szCs w:val="21"/>
        </w:rPr>
        <w:t xml:space="preserve"> pH </w:t>
      </w:r>
      <w:r>
        <w:rPr>
          <w:szCs w:val="21"/>
        </w:rPr>
        <w:t>超过</w:t>
      </w:r>
      <w:r>
        <w:rPr>
          <w:szCs w:val="21"/>
        </w:rPr>
        <w:t xml:space="preserve"> 4.5</w:t>
      </w:r>
      <w:r>
        <w:rPr>
          <w:szCs w:val="21"/>
        </w:rPr>
        <w:t>，那么则可以采用</w:t>
      </w:r>
      <w:r>
        <w:rPr>
          <w:szCs w:val="21"/>
        </w:rPr>
        <w:t xml:space="preserve"> 0.01 mol·L⁻¹ </w:t>
      </w:r>
      <w:r>
        <w:rPr>
          <w:szCs w:val="21"/>
        </w:rPr>
        <w:t>的硝酸溶液</w:t>
      </w:r>
      <w:r>
        <w:rPr>
          <w:rFonts w:hint="eastAsia"/>
          <w:szCs w:val="21"/>
        </w:rPr>
        <w:t>调节</w:t>
      </w:r>
      <w:r>
        <w:rPr>
          <w:szCs w:val="21"/>
        </w:rPr>
        <w:t>，各个编号的溶液都应在</w:t>
      </w:r>
      <w:r>
        <w:rPr>
          <w:szCs w:val="21"/>
        </w:rPr>
        <w:t xml:space="preserve"> pH4.0</w:t>
      </w:r>
      <w:r>
        <w:rPr>
          <w:szCs w:val="21"/>
        </w:rPr>
        <w:t>～</w:t>
      </w:r>
      <w:r>
        <w:rPr>
          <w:szCs w:val="21"/>
        </w:rPr>
        <w:t xml:space="preserve">4.5 </w:t>
      </w:r>
      <w:r>
        <w:rPr>
          <w:szCs w:val="21"/>
        </w:rPr>
        <w:t>之间拥有一个统一且确定的数值。溶液总体积不</w:t>
      </w:r>
      <w:r>
        <w:rPr>
          <w:rFonts w:hint="eastAsia"/>
          <w:szCs w:val="21"/>
        </w:rPr>
        <w:t>能</w:t>
      </w:r>
      <w:r>
        <w:rPr>
          <w:szCs w:val="21"/>
        </w:rPr>
        <w:t>超过</w:t>
      </w:r>
      <w:r>
        <w:rPr>
          <w:szCs w:val="21"/>
        </w:rPr>
        <w:t xml:space="preserve"> 50 mL </w:t>
      </w:r>
      <w:r>
        <w:rPr>
          <w:szCs w:val="21"/>
        </w:rPr>
        <w:t>。将调节好</w:t>
      </w:r>
      <w:r>
        <w:rPr>
          <w:szCs w:val="21"/>
        </w:rPr>
        <w:t xml:space="preserve"> pH </w:t>
      </w:r>
      <w:r>
        <w:rPr>
          <w:szCs w:val="21"/>
        </w:rPr>
        <w:t>值的溶液分别转移到事先已经编好号码并且洁净的</w:t>
      </w:r>
      <w:r>
        <w:rPr>
          <w:szCs w:val="21"/>
        </w:rPr>
        <w:t xml:space="preserve"> 50 mL </w:t>
      </w:r>
      <w:r>
        <w:rPr>
          <w:szCs w:val="21"/>
        </w:rPr>
        <w:t>容量瓶当中。使用</w:t>
      </w:r>
      <w:r>
        <w:rPr>
          <w:szCs w:val="21"/>
        </w:rPr>
        <w:t xml:space="preserve"> pH </w:t>
      </w:r>
      <w:r>
        <w:rPr>
          <w:szCs w:val="21"/>
        </w:rPr>
        <w:t>为</w:t>
      </w:r>
      <w:r>
        <w:rPr>
          <w:szCs w:val="21"/>
        </w:rPr>
        <w:t xml:space="preserve"> 5 </w:t>
      </w:r>
      <w:r>
        <w:rPr>
          <w:szCs w:val="21"/>
        </w:rPr>
        <w:t>的</w:t>
      </w:r>
      <w:r>
        <w:rPr>
          <w:szCs w:val="21"/>
        </w:rPr>
        <w:t xml:space="preserve"> 0.1 mol·L⁻¹ KNO₃</w:t>
      </w:r>
      <w:r>
        <w:rPr>
          <w:szCs w:val="21"/>
        </w:rPr>
        <w:t>溶液对其进行稀释，直至达到标线，然后摇匀。</w:t>
      </w:r>
    </w:p>
    <w:p w14:paraId="38454CF7" w14:textId="77777777" w:rsidR="00F41F0C" w:rsidRDefault="00000000">
      <w:pPr>
        <w:tabs>
          <w:tab w:val="left" w:pos="0"/>
        </w:tabs>
        <w:spacing w:line="320" w:lineRule="exact"/>
        <w:rPr>
          <w:b/>
          <w:bCs/>
          <w:szCs w:val="21"/>
        </w:rPr>
      </w:pPr>
      <w:r>
        <w:rPr>
          <w:rFonts w:hint="eastAsia"/>
          <w:b/>
          <w:bCs/>
          <w:szCs w:val="21"/>
        </w:rPr>
        <w:t>4.</w:t>
      </w:r>
      <w:r>
        <w:rPr>
          <w:b/>
          <w:bCs/>
          <w:szCs w:val="21"/>
        </w:rPr>
        <w:t xml:space="preserve">3 </w:t>
      </w:r>
      <w:r>
        <w:rPr>
          <w:b/>
          <w:bCs/>
          <w:szCs w:val="21"/>
        </w:rPr>
        <w:t>吸光度的测量</w:t>
      </w:r>
    </w:p>
    <w:p w14:paraId="55A66CFB" w14:textId="77777777" w:rsidR="00F41F0C" w:rsidRDefault="00000000">
      <w:pPr>
        <w:tabs>
          <w:tab w:val="left" w:pos="0"/>
        </w:tabs>
        <w:spacing w:line="320" w:lineRule="exact"/>
        <w:rPr>
          <w:szCs w:val="21"/>
        </w:rPr>
      </w:pPr>
      <w:r>
        <w:rPr>
          <w:rFonts w:hint="eastAsia"/>
          <w:szCs w:val="21"/>
        </w:rPr>
        <w:tab/>
      </w:r>
      <w:r>
        <w:rPr>
          <w:szCs w:val="21"/>
        </w:rPr>
        <w:t>在波长为</w:t>
      </w:r>
      <w:r>
        <w:rPr>
          <w:szCs w:val="21"/>
        </w:rPr>
        <w:t>440 nm</w:t>
      </w:r>
      <w:r>
        <w:rPr>
          <w:szCs w:val="21"/>
        </w:rPr>
        <w:t>条件下，以蒸馏水作参比，用分光光度计分别测定每号混合溶液的吸光度，记入上表中。</w:t>
      </w:r>
    </w:p>
    <w:p w14:paraId="6CAFBD6F" w14:textId="77777777" w:rsidR="00F41F0C" w:rsidRDefault="00000000">
      <w:pPr>
        <w:tabs>
          <w:tab w:val="left" w:pos="0"/>
        </w:tabs>
        <w:spacing w:line="320" w:lineRule="exact"/>
        <w:rPr>
          <w:b/>
          <w:bCs/>
          <w:szCs w:val="21"/>
        </w:rPr>
      </w:pPr>
      <w:r>
        <w:rPr>
          <w:rFonts w:hint="eastAsia"/>
          <w:b/>
          <w:bCs/>
          <w:szCs w:val="21"/>
        </w:rPr>
        <w:t>4.</w:t>
      </w:r>
      <w:r>
        <w:rPr>
          <w:b/>
          <w:bCs/>
          <w:szCs w:val="21"/>
        </w:rPr>
        <w:t xml:space="preserve">4 </w:t>
      </w:r>
      <w:r>
        <w:rPr>
          <w:b/>
          <w:bCs/>
          <w:szCs w:val="21"/>
        </w:rPr>
        <w:t>数据处理</w:t>
      </w:r>
    </w:p>
    <w:p w14:paraId="2D034CE0" w14:textId="77777777" w:rsidR="00F41F0C" w:rsidRDefault="00000000">
      <w:pPr>
        <w:tabs>
          <w:tab w:val="left" w:pos="0"/>
        </w:tabs>
        <w:spacing w:line="320" w:lineRule="exact"/>
        <w:rPr>
          <w:szCs w:val="21"/>
        </w:rPr>
      </w:pPr>
      <w:r>
        <w:rPr>
          <w:rFonts w:hint="eastAsia"/>
          <w:szCs w:val="21"/>
        </w:rPr>
        <w:tab/>
      </w:r>
      <w:r>
        <w:rPr>
          <w:szCs w:val="21"/>
        </w:rPr>
        <w:t>以吸光度</w:t>
      </w:r>
      <w:r>
        <w:rPr>
          <w:i/>
          <w:iCs/>
          <w:szCs w:val="21"/>
        </w:rPr>
        <w:t>A</w:t>
      </w:r>
      <w:r>
        <w:rPr>
          <w:szCs w:val="21"/>
        </w:rPr>
        <w:t>为纵坐标，配位体摩尔分数</w:t>
      </w:r>
      <w:r>
        <w:rPr>
          <w:i/>
          <w:iCs/>
          <w:szCs w:val="21"/>
        </w:rPr>
        <w:t>T</w:t>
      </w:r>
      <w:r>
        <w:rPr>
          <w:i/>
          <w:iCs/>
          <w:szCs w:val="21"/>
          <w:vertAlign w:val="subscript"/>
        </w:rPr>
        <w:t>L</w:t>
      </w:r>
      <w:r>
        <w:rPr>
          <w:szCs w:val="21"/>
        </w:rPr>
        <w:t>为横坐标，作</w:t>
      </w:r>
      <w:r>
        <w:rPr>
          <w:i/>
          <w:iCs/>
          <w:szCs w:val="21"/>
        </w:rPr>
        <w:t>A—T</w:t>
      </w:r>
      <w:r>
        <w:rPr>
          <w:i/>
          <w:iCs/>
          <w:szCs w:val="21"/>
          <w:vertAlign w:val="subscript"/>
        </w:rPr>
        <w:t>L</w:t>
      </w:r>
      <w:r>
        <w:rPr>
          <w:szCs w:val="21"/>
        </w:rPr>
        <w:t>图，求</w:t>
      </w:r>
      <w:r>
        <w:rPr>
          <w:szCs w:val="21"/>
        </w:rPr>
        <w:t>CuL</w:t>
      </w:r>
      <w:r>
        <w:rPr>
          <w:szCs w:val="21"/>
          <w:vertAlign w:val="subscript"/>
        </w:rPr>
        <w:t>n</w:t>
      </w:r>
      <w:r>
        <w:rPr>
          <w:szCs w:val="21"/>
        </w:rPr>
        <w:t>的配位体数目</w:t>
      </w:r>
      <w:r>
        <w:rPr>
          <w:i/>
          <w:iCs/>
          <w:szCs w:val="21"/>
        </w:rPr>
        <w:t>n</w:t>
      </w:r>
      <w:r>
        <w:rPr>
          <w:szCs w:val="21"/>
        </w:rPr>
        <w:t>和配合物的稳定常数</w:t>
      </w:r>
      <w:r>
        <w:rPr>
          <w:i/>
          <w:iCs/>
          <w:szCs w:val="21"/>
        </w:rPr>
        <w:t>K</w:t>
      </w:r>
      <w:r>
        <w:rPr>
          <w:i/>
          <w:iCs/>
          <w:szCs w:val="21"/>
          <w:vertAlign w:val="subscript"/>
        </w:rPr>
        <w:t>稳</w:t>
      </w:r>
      <w:r>
        <w:rPr>
          <w:szCs w:val="21"/>
        </w:rPr>
        <w:t>。</w:t>
      </w:r>
      <w:r>
        <w:rPr>
          <w:szCs w:val="21"/>
        </w:rPr>
        <w:tab/>
      </w:r>
      <w:r>
        <w:rPr>
          <w:szCs w:val="21"/>
        </w:rPr>
        <w:tab/>
      </w:r>
    </w:p>
    <w:p w14:paraId="72A90976" w14:textId="77777777" w:rsidR="00F41F0C" w:rsidRDefault="00000000">
      <w:pPr>
        <w:tabs>
          <w:tab w:val="left" w:pos="0"/>
        </w:tabs>
        <w:spacing w:beforeLines="100" w:before="315" w:line="320" w:lineRule="exact"/>
        <w:rPr>
          <w:rFonts w:eastAsia="黑体"/>
          <w:bCs/>
          <w:sz w:val="28"/>
          <w:szCs w:val="28"/>
        </w:rPr>
      </w:pPr>
      <w:r>
        <w:rPr>
          <w:rFonts w:eastAsia="黑体" w:hAnsi="黑体" w:hint="eastAsia"/>
          <w:bCs/>
          <w:sz w:val="28"/>
          <w:szCs w:val="28"/>
        </w:rPr>
        <w:t>5</w:t>
      </w:r>
      <w:r>
        <w:rPr>
          <w:rFonts w:eastAsia="黑体" w:hAnsi="黑体"/>
          <w:bCs/>
          <w:sz w:val="28"/>
          <w:szCs w:val="28"/>
        </w:rPr>
        <w:t xml:space="preserve">　</w:t>
      </w:r>
      <w:r>
        <w:rPr>
          <w:rFonts w:eastAsia="黑体" w:hAnsi="黑体" w:hint="eastAsia"/>
          <w:bCs/>
          <w:sz w:val="28"/>
          <w:szCs w:val="28"/>
        </w:rPr>
        <w:t>数据记录和处理</w:t>
      </w:r>
    </w:p>
    <w:p w14:paraId="59DCD6C5" w14:textId="77777777" w:rsidR="00F41F0C" w:rsidRDefault="00000000">
      <w:pPr>
        <w:tabs>
          <w:tab w:val="left" w:pos="0"/>
        </w:tabs>
        <w:spacing w:line="320" w:lineRule="exact"/>
        <w:rPr>
          <w:bCs/>
          <w:szCs w:val="21"/>
        </w:rPr>
      </w:pPr>
      <w:r>
        <w:rPr>
          <w:rFonts w:hint="eastAsia"/>
          <w:bCs/>
          <w:szCs w:val="21"/>
        </w:rPr>
        <w:tab/>
      </w:r>
    </w:p>
    <w:tbl>
      <w:tblPr>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595"/>
        <w:gridCol w:w="594"/>
        <w:gridCol w:w="594"/>
        <w:gridCol w:w="594"/>
        <w:gridCol w:w="594"/>
        <w:gridCol w:w="594"/>
        <w:gridCol w:w="594"/>
        <w:gridCol w:w="594"/>
        <w:gridCol w:w="594"/>
        <w:gridCol w:w="594"/>
        <w:gridCol w:w="594"/>
        <w:gridCol w:w="594"/>
        <w:gridCol w:w="594"/>
      </w:tblGrid>
      <w:tr w:rsidR="00A81B46" w:rsidRPr="00A81B46" w14:paraId="1C5464BA" w14:textId="77777777" w:rsidTr="00A81B46">
        <w:trPr>
          <w:trHeight w:val="573"/>
        </w:trPr>
        <w:tc>
          <w:tcPr>
            <w:tcW w:w="0" w:type="auto"/>
            <w:vAlign w:val="center"/>
            <w:hideMark/>
          </w:tcPr>
          <w:p w14:paraId="08283AC8" w14:textId="77777777" w:rsidR="00A81B46" w:rsidRPr="00A81B46" w:rsidRDefault="00A81B46" w:rsidP="00A81B46">
            <w:pPr>
              <w:widowControl/>
              <w:jc w:val="center"/>
              <w:rPr>
                <w:rFonts w:ascii="宋体" w:hAnsi="宋体" w:cs="宋体" w:hint="eastAsia"/>
                <w:b/>
                <w:bCs/>
                <w:color w:val="000000"/>
                <w:kern w:val="0"/>
                <w:sz w:val="16"/>
                <w:szCs w:val="16"/>
              </w:rPr>
            </w:pPr>
            <w:r w:rsidRPr="00A81B46">
              <w:rPr>
                <w:rFonts w:ascii="宋体" w:hAnsi="宋体" w:cs="宋体" w:hint="eastAsia"/>
                <w:b/>
                <w:bCs/>
                <w:color w:val="000000"/>
                <w:kern w:val="0"/>
                <w:sz w:val="16"/>
                <w:szCs w:val="16"/>
              </w:rPr>
              <w:t>磺基水杨酸</w:t>
            </w:r>
            <w:r w:rsidRPr="00A81B46">
              <w:rPr>
                <w:b/>
                <w:bCs/>
                <w:color w:val="000000"/>
                <w:kern w:val="0"/>
                <w:sz w:val="16"/>
                <w:szCs w:val="16"/>
              </w:rPr>
              <w:t>/mL</w:t>
            </w:r>
          </w:p>
        </w:tc>
        <w:tc>
          <w:tcPr>
            <w:tcW w:w="0" w:type="auto"/>
            <w:vAlign w:val="center"/>
            <w:hideMark/>
          </w:tcPr>
          <w:p w14:paraId="0A63BDC3"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w:t>
            </w:r>
          </w:p>
        </w:tc>
        <w:tc>
          <w:tcPr>
            <w:tcW w:w="0" w:type="auto"/>
            <w:vAlign w:val="center"/>
            <w:hideMark/>
          </w:tcPr>
          <w:p w14:paraId="2F7390AC"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w:t>
            </w:r>
          </w:p>
        </w:tc>
        <w:tc>
          <w:tcPr>
            <w:tcW w:w="0" w:type="auto"/>
            <w:vAlign w:val="center"/>
            <w:hideMark/>
          </w:tcPr>
          <w:p w14:paraId="7F81DE1D"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4</w:t>
            </w:r>
          </w:p>
        </w:tc>
        <w:tc>
          <w:tcPr>
            <w:tcW w:w="0" w:type="auto"/>
            <w:vAlign w:val="center"/>
            <w:hideMark/>
          </w:tcPr>
          <w:p w14:paraId="3432F140"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6</w:t>
            </w:r>
          </w:p>
        </w:tc>
        <w:tc>
          <w:tcPr>
            <w:tcW w:w="0" w:type="auto"/>
            <w:vAlign w:val="center"/>
            <w:hideMark/>
          </w:tcPr>
          <w:p w14:paraId="215E01B0"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8</w:t>
            </w:r>
          </w:p>
        </w:tc>
        <w:tc>
          <w:tcPr>
            <w:tcW w:w="0" w:type="auto"/>
            <w:vAlign w:val="center"/>
            <w:hideMark/>
          </w:tcPr>
          <w:p w14:paraId="2E7383D2"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10</w:t>
            </w:r>
          </w:p>
        </w:tc>
        <w:tc>
          <w:tcPr>
            <w:tcW w:w="0" w:type="auto"/>
            <w:vAlign w:val="center"/>
            <w:hideMark/>
          </w:tcPr>
          <w:p w14:paraId="2094E2B0"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12</w:t>
            </w:r>
          </w:p>
        </w:tc>
        <w:tc>
          <w:tcPr>
            <w:tcW w:w="0" w:type="auto"/>
            <w:vAlign w:val="center"/>
            <w:hideMark/>
          </w:tcPr>
          <w:p w14:paraId="0AC933C9"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14</w:t>
            </w:r>
          </w:p>
        </w:tc>
        <w:tc>
          <w:tcPr>
            <w:tcW w:w="0" w:type="auto"/>
            <w:vAlign w:val="center"/>
            <w:hideMark/>
          </w:tcPr>
          <w:p w14:paraId="63D4622F"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16</w:t>
            </w:r>
          </w:p>
        </w:tc>
        <w:tc>
          <w:tcPr>
            <w:tcW w:w="0" w:type="auto"/>
            <w:vAlign w:val="center"/>
            <w:hideMark/>
          </w:tcPr>
          <w:p w14:paraId="65C79FCE"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18</w:t>
            </w:r>
          </w:p>
        </w:tc>
        <w:tc>
          <w:tcPr>
            <w:tcW w:w="0" w:type="auto"/>
            <w:vAlign w:val="center"/>
            <w:hideMark/>
          </w:tcPr>
          <w:p w14:paraId="364A8FE8"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20</w:t>
            </w:r>
          </w:p>
        </w:tc>
        <w:tc>
          <w:tcPr>
            <w:tcW w:w="0" w:type="auto"/>
            <w:vAlign w:val="center"/>
            <w:hideMark/>
          </w:tcPr>
          <w:p w14:paraId="657F8A99"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22</w:t>
            </w:r>
          </w:p>
        </w:tc>
        <w:tc>
          <w:tcPr>
            <w:tcW w:w="0" w:type="auto"/>
            <w:vAlign w:val="center"/>
            <w:hideMark/>
          </w:tcPr>
          <w:p w14:paraId="68F50F2F"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24</w:t>
            </w:r>
          </w:p>
        </w:tc>
      </w:tr>
      <w:tr w:rsidR="00A81B46" w:rsidRPr="00A81B46" w14:paraId="593D8FA2" w14:textId="77777777" w:rsidTr="00A81B46">
        <w:trPr>
          <w:trHeight w:val="573"/>
        </w:trPr>
        <w:tc>
          <w:tcPr>
            <w:tcW w:w="0" w:type="auto"/>
            <w:vAlign w:val="center"/>
            <w:hideMark/>
          </w:tcPr>
          <w:p w14:paraId="6CA90790" w14:textId="77777777" w:rsidR="00A81B46" w:rsidRPr="00A81B46" w:rsidRDefault="00A81B46" w:rsidP="00A81B46">
            <w:pPr>
              <w:widowControl/>
              <w:jc w:val="center"/>
              <w:rPr>
                <w:rFonts w:ascii="宋体" w:hAnsi="宋体" w:cs="宋体" w:hint="eastAsia"/>
                <w:b/>
                <w:bCs/>
                <w:color w:val="000000"/>
                <w:kern w:val="0"/>
                <w:sz w:val="16"/>
                <w:szCs w:val="16"/>
              </w:rPr>
            </w:pPr>
            <w:r w:rsidRPr="00A81B46">
              <w:rPr>
                <w:rFonts w:ascii="宋体" w:hAnsi="宋体" w:cs="宋体" w:hint="eastAsia"/>
                <w:b/>
                <w:bCs/>
                <w:color w:val="000000"/>
                <w:kern w:val="0"/>
                <w:sz w:val="16"/>
                <w:szCs w:val="16"/>
              </w:rPr>
              <w:t>硝酸铜溶液</w:t>
            </w:r>
            <w:r w:rsidRPr="00A81B46">
              <w:rPr>
                <w:b/>
                <w:bCs/>
                <w:color w:val="000000"/>
                <w:kern w:val="0"/>
                <w:sz w:val="16"/>
                <w:szCs w:val="16"/>
              </w:rPr>
              <w:t>/mL</w:t>
            </w:r>
          </w:p>
        </w:tc>
        <w:tc>
          <w:tcPr>
            <w:tcW w:w="0" w:type="auto"/>
            <w:vAlign w:val="center"/>
            <w:hideMark/>
          </w:tcPr>
          <w:p w14:paraId="2B9410E8"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24</w:t>
            </w:r>
          </w:p>
        </w:tc>
        <w:tc>
          <w:tcPr>
            <w:tcW w:w="0" w:type="auto"/>
            <w:vAlign w:val="center"/>
            <w:hideMark/>
          </w:tcPr>
          <w:p w14:paraId="6A5955D7"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22</w:t>
            </w:r>
          </w:p>
        </w:tc>
        <w:tc>
          <w:tcPr>
            <w:tcW w:w="0" w:type="auto"/>
            <w:vAlign w:val="center"/>
            <w:hideMark/>
          </w:tcPr>
          <w:p w14:paraId="003F16D7"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20</w:t>
            </w:r>
          </w:p>
        </w:tc>
        <w:tc>
          <w:tcPr>
            <w:tcW w:w="0" w:type="auto"/>
            <w:vAlign w:val="center"/>
            <w:hideMark/>
          </w:tcPr>
          <w:p w14:paraId="0F5BE1A4"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18</w:t>
            </w:r>
          </w:p>
        </w:tc>
        <w:tc>
          <w:tcPr>
            <w:tcW w:w="0" w:type="auto"/>
            <w:vAlign w:val="center"/>
            <w:hideMark/>
          </w:tcPr>
          <w:p w14:paraId="52EC1883"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16</w:t>
            </w:r>
          </w:p>
        </w:tc>
        <w:tc>
          <w:tcPr>
            <w:tcW w:w="0" w:type="auto"/>
            <w:vAlign w:val="center"/>
            <w:hideMark/>
          </w:tcPr>
          <w:p w14:paraId="467529D2"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14</w:t>
            </w:r>
          </w:p>
        </w:tc>
        <w:tc>
          <w:tcPr>
            <w:tcW w:w="0" w:type="auto"/>
            <w:vAlign w:val="center"/>
            <w:hideMark/>
          </w:tcPr>
          <w:p w14:paraId="17D22D3E"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12</w:t>
            </w:r>
          </w:p>
        </w:tc>
        <w:tc>
          <w:tcPr>
            <w:tcW w:w="0" w:type="auto"/>
            <w:vAlign w:val="center"/>
            <w:hideMark/>
          </w:tcPr>
          <w:p w14:paraId="751E4FBA"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10</w:t>
            </w:r>
          </w:p>
        </w:tc>
        <w:tc>
          <w:tcPr>
            <w:tcW w:w="0" w:type="auto"/>
            <w:vAlign w:val="center"/>
            <w:hideMark/>
          </w:tcPr>
          <w:p w14:paraId="26E59938"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8</w:t>
            </w:r>
          </w:p>
        </w:tc>
        <w:tc>
          <w:tcPr>
            <w:tcW w:w="0" w:type="auto"/>
            <w:vAlign w:val="center"/>
            <w:hideMark/>
          </w:tcPr>
          <w:p w14:paraId="5133BC8E"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6</w:t>
            </w:r>
          </w:p>
        </w:tc>
        <w:tc>
          <w:tcPr>
            <w:tcW w:w="0" w:type="auto"/>
            <w:vAlign w:val="center"/>
            <w:hideMark/>
          </w:tcPr>
          <w:p w14:paraId="48D56ACD"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4</w:t>
            </w:r>
          </w:p>
        </w:tc>
        <w:tc>
          <w:tcPr>
            <w:tcW w:w="0" w:type="auto"/>
            <w:vAlign w:val="center"/>
            <w:hideMark/>
          </w:tcPr>
          <w:p w14:paraId="3E6F24CC"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2</w:t>
            </w:r>
          </w:p>
        </w:tc>
        <w:tc>
          <w:tcPr>
            <w:tcW w:w="0" w:type="auto"/>
            <w:vAlign w:val="center"/>
            <w:hideMark/>
          </w:tcPr>
          <w:p w14:paraId="48E37648"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w:t>
            </w:r>
          </w:p>
        </w:tc>
      </w:tr>
      <w:tr w:rsidR="00A81B46" w:rsidRPr="00A81B46" w14:paraId="5A07D31A" w14:textId="77777777" w:rsidTr="00A81B46">
        <w:trPr>
          <w:trHeight w:val="573"/>
        </w:trPr>
        <w:tc>
          <w:tcPr>
            <w:tcW w:w="0" w:type="auto"/>
            <w:vAlign w:val="center"/>
            <w:hideMark/>
          </w:tcPr>
          <w:p w14:paraId="29BC0DC6" w14:textId="77777777" w:rsidR="00A81B46" w:rsidRPr="00A81B46" w:rsidRDefault="00A81B46" w:rsidP="00A81B46">
            <w:pPr>
              <w:widowControl/>
              <w:jc w:val="center"/>
              <w:rPr>
                <w:rFonts w:ascii="宋体" w:hAnsi="宋体" w:cs="宋体" w:hint="eastAsia"/>
                <w:b/>
                <w:bCs/>
                <w:color w:val="000000"/>
                <w:kern w:val="0"/>
                <w:sz w:val="16"/>
                <w:szCs w:val="16"/>
              </w:rPr>
            </w:pPr>
            <w:r w:rsidRPr="00A81B46">
              <w:rPr>
                <w:rFonts w:ascii="宋体" w:hAnsi="宋体" w:cs="宋体" w:hint="eastAsia"/>
                <w:b/>
                <w:bCs/>
                <w:color w:val="000000"/>
                <w:kern w:val="0"/>
                <w:sz w:val="16"/>
                <w:szCs w:val="16"/>
              </w:rPr>
              <w:t>配体的体积分数</w:t>
            </w:r>
            <w:r w:rsidRPr="00A81B46">
              <w:rPr>
                <w:b/>
                <w:bCs/>
                <w:color w:val="000000"/>
                <w:kern w:val="0"/>
                <w:sz w:val="16"/>
                <w:szCs w:val="16"/>
              </w:rPr>
              <w:t>%</w:t>
            </w:r>
          </w:p>
        </w:tc>
        <w:tc>
          <w:tcPr>
            <w:tcW w:w="0" w:type="auto"/>
            <w:vAlign w:val="center"/>
            <w:hideMark/>
          </w:tcPr>
          <w:p w14:paraId="2E692931"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w:t>
            </w:r>
          </w:p>
        </w:tc>
        <w:tc>
          <w:tcPr>
            <w:tcW w:w="0" w:type="auto"/>
            <w:vAlign w:val="center"/>
            <w:hideMark/>
          </w:tcPr>
          <w:p w14:paraId="135E027D"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0.083</w:t>
            </w:r>
          </w:p>
        </w:tc>
        <w:tc>
          <w:tcPr>
            <w:tcW w:w="0" w:type="auto"/>
            <w:vAlign w:val="center"/>
            <w:hideMark/>
          </w:tcPr>
          <w:p w14:paraId="1892260B"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0.167</w:t>
            </w:r>
          </w:p>
        </w:tc>
        <w:tc>
          <w:tcPr>
            <w:tcW w:w="0" w:type="auto"/>
            <w:vAlign w:val="center"/>
            <w:hideMark/>
          </w:tcPr>
          <w:p w14:paraId="39CA230D"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0.25</w:t>
            </w:r>
          </w:p>
        </w:tc>
        <w:tc>
          <w:tcPr>
            <w:tcW w:w="0" w:type="auto"/>
            <w:vAlign w:val="center"/>
            <w:hideMark/>
          </w:tcPr>
          <w:p w14:paraId="1AAF8643"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0.333</w:t>
            </w:r>
          </w:p>
        </w:tc>
        <w:tc>
          <w:tcPr>
            <w:tcW w:w="0" w:type="auto"/>
            <w:vAlign w:val="center"/>
            <w:hideMark/>
          </w:tcPr>
          <w:p w14:paraId="5ABE7854"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0.417</w:t>
            </w:r>
          </w:p>
        </w:tc>
        <w:tc>
          <w:tcPr>
            <w:tcW w:w="0" w:type="auto"/>
            <w:vAlign w:val="center"/>
            <w:hideMark/>
          </w:tcPr>
          <w:p w14:paraId="581B0D00"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0.5</w:t>
            </w:r>
          </w:p>
        </w:tc>
        <w:tc>
          <w:tcPr>
            <w:tcW w:w="0" w:type="auto"/>
            <w:vAlign w:val="center"/>
            <w:hideMark/>
          </w:tcPr>
          <w:p w14:paraId="20CE94B7"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0.583</w:t>
            </w:r>
          </w:p>
        </w:tc>
        <w:tc>
          <w:tcPr>
            <w:tcW w:w="0" w:type="auto"/>
            <w:vAlign w:val="center"/>
            <w:hideMark/>
          </w:tcPr>
          <w:p w14:paraId="302BF08C"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0.667</w:t>
            </w:r>
          </w:p>
        </w:tc>
        <w:tc>
          <w:tcPr>
            <w:tcW w:w="0" w:type="auto"/>
            <w:vAlign w:val="center"/>
            <w:hideMark/>
          </w:tcPr>
          <w:p w14:paraId="20B7E9F4"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0.75</w:t>
            </w:r>
          </w:p>
        </w:tc>
        <w:tc>
          <w:tcPr>
            <w:tcW w:w="0" w:type="auto"/>
            <w:vAlign w:val="center"/>
            <w:hideMark/>
          </w:tcPr>
          <w:p w14:paraId="4A96E6DE"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0.833</w:t>
            </w:r>
          </w:p>
        </w:tc>
        <w:tc>
          <w:tcPr>
            <w:tcW w:w="0" w:type="auto"/>
            <w:vAlign w:val="center"/>
            <w:hideMark/>
          </w:tcPr>
          <w:p w14:paraId="1A23B974"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0.917</w:t>
            </w:r>
          </w:p>
        </w:tc>
        <w:tc>
          <w:tcPr>
            <w:tcW w:w="0" w:type="auto"/>
            <w:vAlign w:val="center"/>
            <w:hideMark/>
          </w:tcPr>
          <w:p w14:paraId="678E52B5"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1</w:t>
            </w:r>
          </w:p>
        </w:tc>
      </w:tr>
      <w:tr w:rsidR="00A81B46" w:rsidRPr="00A81B46" w14:paraId="006BF621" w14:textId="77777777" w:rsidTr="00A81B46">
        <w:trPr>
          <w:trHeight w:val="296"/>
        </w:trPr>
        <w:tc>
          <w:tcPr>
            <w:tcW w:w="0" w:type="auto"/>
            <w:vAlign w:val="center"/>
            <w:hideMark/>
          </w:tcPr>
          <w:p w14:paraId="793A751E" w14:textId="77777777" w:rsidR="00A81B46" w:rsidRPr="00A81B46" w:rsidRDefault="00A81B46" w:rsidP="00A81B46">
            <w:pPr>
              <w:widowControl/>
              <w:jc w:val="center"/>
              <w:rPr>
                <w:rFonts w:ascii="宋体" w:hAnsi="宋体" w:cs="宋体" w:hint="eastAsia"/>
                <w:b/>
                <w:bCs/>
                <w:color w:val="000000"/>
                <w:kern w:val="0"/>
                <w:sz w:val="16"/>
                <w:szCs w:val="16"/>
              </w:rPr>
            </w:pPr>
            <w:r w:rsidRPr="00A81B46">
              <w:rPr>
                <w:rFonts w:ascii="宋体" w:hAnsi="宋体" w:cs="宋体" w:hint="eastAsia"/>
                <w:b/>
                <w:bCs/>
                <w:color w:val="000000"/>
                <w:kern w:val="0"/>
                <w:sz w:val="16"/>
                <w:szCs w:val="16"/>
              </w:rPr>
              <w:t>吸光度</w:t>
            </w:r>
            <w:r w:rsidRPr="00A81B46">
              <w:rPr>
                <w:b/>
                <w:bCs/>
                <w:color w:val="000000"/>
                <w:kern w:val="0"/>
                <w:sz w:val="16"/>
                <w:szCs w:val="16"/>
              </w:rPr>
              <w:t>A</w:t>
            </w:r>
          </w:p>
        </w:tc>
        <w:tc>
          <w:tcPr>
            <w:tcW w:w="0" w:type="auto"/>
            <w:vAlign w:val="center"/>
            <w:hideMark/>
          </w:tcPr>
          <w:p w14:paraId="52ABF696"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0.001</w:t>
            </w:r>
          </w:p>
        </w:tc>
        <w:tc>
          <w:tcPr>
            <w:tcW w:w="0" w:type="auto"/>
            <w:vAlign w:val="center"/>
            <w:hideMark/>
          </w:tcPr>
          <w:p w14:paraId="2A1FA78B"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0.092</w:t>
            </w:r>
          </w:p>
        </w:tc>
        <w:tc>
          <w:tcPr>
            <w:tcW w:w="0" w:type="auto"/>
            <w:vAlign w:val="center"/>
            <w:hideMark/>
          </w:tcPr>
          <w:p w14:paraId="1B6B4B2D"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0.174</w:t>
            </w:r>
          </w:p>
        </w:tc>
        <w:tc>
          <w:tcPr>
            <w:tcW w:w="0" w:type="auto"/>
            <w:vAlign w:val="center"/>
            <w:hideMark/>
          </w:tcPr>
          <w:p w14:paraId="7E2FC25A"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0.249</w:t>
            </w:r>
          </w:p>
        </w:tc>
        <w:tc>
          <w:tcPr>
            <w:tcW w:w="0" w:type="auto"/>
            <w:vAlign w:val="center"/>
            <w:hideMark/>
          </w:tcPr>
          <w:p w14:paraId="09400211"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0.31</w:t>
            </w:r>
          </w:p>
        </w:tc>
        <w:tc>
          <w:tcPr>
            <w:tcW w:w="0" w:type="auto"/>
            <w:vAlign w:val="center"/>
            <w:hideMark/>
          </w:tcPr>
          <w:p w14:paraId="779BF3F4"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0.33</w:t>
            </w:r>
          </w:p>
        </w:tc>
        <w:tc>
          <w:tcPr>
            <w:tcW w:w="0" w:type="auto"/>
            <w:vAlign w:val="center"/>
            <w:hideMark/>
          </w:tcPr>
          <w:p w14:paraId="34EAD72B"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0.337</w:t>
            </w:r>
          </w:p>
        </w:tc>
        <w:tc>
          <w:tcPr>
            <w:tcW w:w="0" w:type="auto"/>
            <w:vAlign w:val="center"/>
            <w:hideMark/>
          </w:tcPr>
          <w:p w14:paraId="304D6C75"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0.32</w:t>
            </w:r>
          </w:p>
        </w:tc>
        <w:tc>
          <w:tcPr>
            <w:tcW w:w="0" w:type="auto"/>
            <w:vAlign w:val="center"/>
            <w:hideMark/>
          </w:tcPr>
          <w:p w14:paraId="25468432"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0.312</w:t>
            </w:r>
          </w:p>
        </w:tc>
        <w:tc>
          <w:tcPr>
            <w:tcW w:w="0" w:type="auto"/>
            <w:vAlign w:val="center"/>
            <w:hideMark/>
          </w:tcPr>
          <w:p w14:paraId="1D4A34C7"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0.242</w:t>
            </w:r>
          </w:p>
        </w:tc>
        <w:tc>
          <w:tcPr>
            <w:tcW w:w="0" w:type="auto"/>
            <w:vAlign w:val="center"/>
            <w:hideMark/>
          </w:tcPr>
          <w:p w14:paraId="42D77C20"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0.15</w:t>
            </w:r>
          </w:p>
        </w:tc>
        <w:tc>
          <w:tcPr>
            <w:tcW w:w="0" w:type="auto"/>
            <w:vAlign w:val="center"/>
            <w:hideMark/>
          </w:tcPr>
          <w:p w14:paraId="5FC1BC8D"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0.08</w:t>
            </w:r>
          </w:p>
        </w:tc>
        <w:tc>
          <w:tcPr>
            <w:tcW w:w="0" w:type="auto"/>
            <w:vAlign w:val="center"/>
            <w:hideMark/>
          </w:tcPr>
          <w:p w14:paraId="266B60C4" w14:textId="77777777" w:rsidR="00A81B46" w:rsidRPr="00A81B46" w:rsidRDefault="00A81B46" w:rsidP="00A81B46">
            <w:pPr>
              <w:widowControl/>
              <w:jc w:val="center"/>
              <w:rPr>
                <w:rFonts w:eastAsia="等线"/>
                <w:color w:val="000000"/>
                <w:kern w:val="0"/>
                <w:sz w:val="16"/>
                <w:szCs w:val="16"/>
              </w:rPr>
            </w:pPr>
            <w:r w:rsidRPr="00A81B46">
              <w:rPr>
                <w:rFonts w:eastAsia="等线"/>
                <w:color w:val="000000"/>
                <w:kern w:val="0"/>
                <w:sz w:val="16"/>
                <w:szCs w:val="16"/>
              </w:rPr>
              <w:t>0.004</w:t>
            </w:r>
          </w:p>
        </w:tc>
      </w:tr>
    </w:tbl>
    <w:p w14:paraId="23399477" w14:textId="4C8DA871" w:rsidR="00F41F0C" w:rsidRDefault="00F41F0C">
      <w:pPr>
        <w:tabs>
          <w:tab w:val="left" w:pos="0"/>
        </w:tabs>
        <w:spacing w:line="320" w:lineRule="exact"/>
        <w:rPr>
          <w:bCs/>
          <w:szCs w:val="21"/>
        </w:rPr>
      </w:pPr>
    </w:p>
    <w:p w14:paraId="73015DC9" w14:textId="60F7A7AF" w:rsidR="00F41F0C" w:rsidRDefault="00000000">
      <w:pPr>
        <w:tabs>
          <w:tab w:val="left" w:pos="0"/>
        </w:tabs>
        <w:spacing w:beforeLines="100" w:before="315" w:line="320" w:lineRule="exact"/>
        <w:rPr>
          <w:rFonts w:ascii="黑体" w:eastAsia="黑体" w:hAnsi="黑体" w:hint="eastAsia"/>
          <w:sz w:val="28"/>
          <w:szCs w:val="28"/>
        </w:rPr>
      </w:pPr>
      <w:r>
        <w:rPr>
          <w:rFonts w:eastAsia="黑体" w:hint="eastAsia"/>
          <w:sz w:val="28"/>
          <w:szCs w:val="28"/>
        </w:rPr>
        <w:t>6</w:t>
      </w:r>
      <w:r>
        <w:rPr>
          <w:rFonts w:ascii="黑体" w:eastAsia="黑体" w:hAnsi="黑体"/>
          <w:sz w:val="28"/>
          <w:szCs w:val="28"/>
        </w:rPr>
        <w:t xml:space="preserve">　</w:t>
      </w:r>
      <w:r>
        <w:rPr>
          <w:rFonts w:eastAsia="黑体" w:hAnsi="黑体"/>
          <w:sz w:val="28"/>
          <w:szCs w:val="28"/>
        </w:rPr>
        <w:t>结果</w:t>
      </w:r>
      <w:r>
        <w:rPr>
          <w:rFonts w:ascii="黑体" w:eastAsia="黑体" w:hAnsi="黑体"/>
          <w:sz w:val="28"/>
          <w:szCs w:val="28"/>
        </w:rPr>
        <w:t>与讨论</w:t>
      </w:r>
    </w:p>
    <w:p w14:paraId="1677EFF1" w14:textId="131D5232" w:rsidR="00072122" w:rsidRDefault="006032D0">
      <w:pPr>
        <w:tabs>
          <w:tab w:val="left" w:pos="0"/>
        </w:tabs>
        <w:spacing w:line="320" w:lineRule="exact"/>
        <w:rPr>
          <w:rFonts w:ascii="宋体" w:hAnsi="宋体" w:cs="宋体" w:hint="eastAsia"/>
          <w:szCs w:val="21"/>
        </w:rPr>
      </w:pPr>
      <w:r>
        <w:rPr>
          <w:rFonts w:hint="eastAsia"/>
          <w:noProof/>
        </w:rPr>
        <w:drawing>
          <wp:anchor distT="0" distB="0" distL="114300" distR="114300" simplePos="0" relativeHeight="251658752" behindDoc="0" locked="0" layoutInCell="1" allowOverlap="1" wp14:anchorId="65B59350" wp14:editId="3ECB2A2A">
            <wp:simplePos x="0" y="0"/>
            <wp:positionH relativeFrom="column">
              <wp:posOffset>1333500</wp:posOffset>
            </wp:positionH>
            <wp:positionV relativeFrom="paragraph">
              <wp:posOffset>55880</wp:posOffset>
            </wp:positionV>
            <wp:extent cx="3454400" cy="2049145"/>
            <wp:effectExtent l="0" t="0" r="0" b="0"/>
            <wp:wrapNone/>
            <wp:docPr id="19" name="图表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表 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4400" cy="2049145"/>
                    </a:xfrm>
                    <a:prstGeom prst="rect">
                      <a:avLst/>
                    </a:prstGeom>
                    <a:noFill/>
                  </pic:spPr>
                </pic:pic>
              </a:graphicData>
            </a:graphic>
            <wp14:sizeRelH relativeFrom="page">
              <wp14:pctWidth>0</wp14:pctWidth>
            </wp14:sizeRelH>
            <wp14:sizeRelV relativeFrom="page">
              <wp14:pctHeight>0</wp14:pctHeight>
            </wp14:sizeRelV>
          </wp:anchor>
        </w:drawing>
      </w:r>
    </w:p>
    <w:p w14:paraId="18EB4BDE" w14:textId="77777777" w:rsidR="00B449F6" w:rsidRDefault="00B449F6">
      <w:pPr>
        <w:tabs>
          <w:tab w:val="left" w:pos="0"/>
        </w:tabs>
        <w:spacing w:line="320" w:lineRule="exact"/>
        <w:rPr>
          <w:rFonts w:ascii="宋体" w:hAnsi="宋体" w:cs="宋体" w:hint="eastAsia"/>
          <w:szCs w:val="21"/>
        </w:rPr>
      </w:pPr>
    </w:p>
    <w:p w14:paraId="0C243C1B" w14:textId="77777777" w:rsidR="00B449F6" w:rsidRDefault="00B449F6">
      <w:pPr>
        <w:tabs>
          <w:tab w:val="left" w:pos="0"/>
        </w:tabs>
        <w:spacing w:line="320" w:lineRule="exact"/>
        <w:rPr>
          <w:rFonts w:ascii="宋体" w:hAnsi="宋体" w:cs="宋体" w:hint="eastAsia"/>
          <w:szCs w:val="21"/>
        </w:rPr>
      </w:pPr>
    </w:p>
    <w:p w14:paraId="7C8D9B6D" w14:textId="77777777" w:rsidR="00B449F6" w:rsidRDefault="00B449F6">
      <w:pPr>
        <w:tabs>
          <w:tab w:val="left" w:pos="0"/>
        </w:tabs>
        <w:spacing w:line="320" w:lineRule="exact"/>
        <w:rPr>
          <w:rFonts w:ascii="宋体" w:hAnsi="宋体" w:cs="宋体" w:hint="eastAsia"/>
          <w:szCs w:val="21"/>
        </w:rPr>
      </w:pPr>
    </w:p>
    <w:p w14:paraId="123CB736" w14:textId="78509AC3" w:rsidR="00A81B46" w:rsidRDefault="00A81B46">
      <w:pPr>
        <w:tabs>
          <w:tab w:val="left" w:pos="0"/>
        </w:tabs>
        <w:spacing w:line="320" w:lineRule="exact"/>
        <w:rPr>
          <w:rFonts w:ascii="宋体" w:hAnsi="宋体" w:cs="宋体" w:hint="eastAsia"/>
          <w:szCs w:val="21"/>
        </w:rPr>
      </w:pPr>
    </w:p>
    <w:p w14:paraId="3E4D511C" w14:textId="7DE34DDA" w:rsidR="00A81B46" w:rsidRDefault="00A81B46">
      <w:pPr>
        <w:tabs>
          <w:tab w:val="left" w:pos="0"/>
        </w:tabs>
        <w:spacing w:line="320" w:lineRule="exact"/>
        <w:rPr>
          <w:rFonts w:ascii="宋体" w:hAnsi="宋体" w:cs="宋体" w:hint="eastAsia"/>
          <w:szCs w:val="21"/>
        </w:rPr>
      </w:pPr>
    </w:p>
    <w:p w14:paraId="372D6561" w14:textId="77777777" w:rsidR="00A81B46" w:rsidRDefault="00A81B46">
      <w:pPr>
        <w:tabs>
          <w:tab w:val="left" w:pos="0"/>
        </w:tabs>
        <w:spacing w:line="320" w:lineRule="exact"/>
        <w:rPr>
          <w:rFonts w:ascii="宋体" w:hAnsi="宋体" w:cs="宋体" w:hint="eastAsia"/>
          <w:szCs w:val="21"/>
        </w:rPr>
      </w:pPr>
    </w:p>
    <w:p w14:paraId="63971BA5" w14:textId="77777777" w:rsidR="00A81B46" w:rsidRDefault="00A81B46">
      <w:pPr>
        <w:tabs>
          <w:tab w:val="left" w:pos="0"/>
        </w:tabs>
        <w:spacing w:line="320" w:lineRule="exact"/>
        <w:rPr>
          <w:rFonts w:ascii="宋体" w:hAnsi="宋体" w:cs="宋体" w:hint="eastAsia"/>
          <w:szCs w:val="21"/>
        </w:rPr>
      </w:pPr>
    </w:p>
    <w:p w14:paraId="370C67E0" w14:textId="489782C6" w:rsidR="00A81B46" w:rsidRDefault="00A81B46">
      <w:pPr>
        <w:tabs>
          <w:tab w:val="left" w:pos="0"/>
        </w:tabs>
        <w:spacing w:line="320" w:lineRule="exact"/>
        <w:rPr>
          <w:rFonts w:ascii="宋体" w:hAnsi="宋体" w:cs="宋体" w:hint="eastAsia"/>
          <w:szCs w:val="21"/>
        </w:rPr>
      </w:pPr>
    </w:p>
    <w:p w14:paraId="71F9DB88" w14:textId="7DA6DDE6" w:rsidR="00A81B46" w:rsidRDefault="00A81B46">
      <w:pPr>
        <w:tabs>
          <w:tab w:val="left" w:pos="0"/>
        </w:tabs>
        <w:spacing w:line="320" w:lineRule="exact"/>
        <w:rPr>
          <w:rFonts w:ascii="宋体" w:hAnsi="宋体" w:cs="宋体" w:hint="eastAsia"/>
          <w:szCs w:val="21"/>
        </w:rPr>
      </w:pPr>
    </w:p>
    <w:p w14:paraId="1967E479" w14:textId="77777777" w:rsidR="00A81B46" w:rsidRDefault="00A81B46">
      <w:pPr>
        <w:tabs>
          <w:tab w:val="left" w:pos="0"/>
        </w:tabs>
        <w:spacing w:line="320" w:lineRule="exact"/>
        <w:rPr>
          <w:rFonts w:ascii="宋体" w:hAnsi="宋体" w:cs="宋体" w:hint="eastAsia"/>
          <w:szCs w:val="21"/>
        </w:rPr>
      </w:pPr>
    </w:p>
    <w:p w14:paraId="2CF6EE6D" w14:textId="01A969D2" w:rsidR="00B449F6" w:rsidRDefault="00B449F6">
      <w:pPr>
        <w:tabs>
          <w:tab w:val="left" w:pos="0"/>
        </w:tabs>
        <w:spacing w:line="320" w:lineRule="exact"/>
        <w:rPr>
          <w:rFonts w:ascii="宋体" w:hAnsi="宋体" w:cs="宋体" w:hint="eastAsia"/>
          <w:szCs w:val="21"/>
        </w:rPr>
      </w:pPr>
      <w:r>
        <w:rPr>
          <w:rFonts w:ascii="宋体" w:hAnsi="宋体" w:cs="宋体"/>
          <w:szCs w:val="21"/>
        </w:rPr>
        <w:tab/>
      </w:r>
      <w:r>
        <w:rPr>
          <w:rFonts w:ascii="宋体" w:hAnsi="宋体" w:cs="宋体" w:hint="eastAsia"/>
          <w:szCs w:val="21"/>
        </w:rPr>
        <w:t>作出</w:t>
      </w:r>
      <w:r w:rsidR="008814C6">
        <w:rPr>
          <w:i/>
          <w:iCs/>
          <w:szCs w:val="21"/>
        </w:rPr>
        <w:t>A—T</w:t>
      </w:r>
      <w:r w:rsidR="008814C6">
        <w:rPr>
          <w:i/>
          <w:iCs/>
          <w:szCs w:val="21"/>
          <w:vertAlign w:val="subscript"/>
        </w:rPr>
        <w:t>L</w:t>
      </w:r>
      <w:r>
        <w:rPr>
          <w:rFonts w:ascii="宋体" w:hAnsi="宋体" w:cs="宋体" w:hint="eastAsia"/>
          <w:szCs w:val="21"/>
        </w:rPr>
        <w:t>关系如图，对两侧分别作线性回归，可以看出两线交于</w:t>
      </w:r>
      <w:r w:rsidRPr="00B449F6">
        <w:rPr>
          <w:rFonts w:ascii="宋体" w:hAnsi="宋体" w:cs="宋体" w:hint="eastAsia"/>
          <w:position w:val="-10"/>
          <w:szCs w:val="21"/>
        </w:rPr>
        <w:object w:dxaOrig="747" w:dyaOrig="314" w14:anchorId="0EC99741">
          <v:shape id="_x0000_i1026" type="#_x0000_t75" style="width:37.25pt;height:15.65pt" o:ole="">
            <v:imagedata r:id="rId13" o:title=""/>
          </v:shape>
          <o:OLEObject Type="Embed" ProgID="Equation.AxMath" ShapeID="_x0000_i1026" DrawAspect="Content" ObjectID="_1828734151" r:id="rId14"/>
        </w:object>
      </w:r>
      <w:r>
        <w:rPr>
          <w:rFonts w:ascii="宋体" w:hAnsi="宋体" w:cs="宋体" w:hint="eastAsia"/>
          <w:szCs w:val="21"/>
        </w:rPr>
        <w:t>处，与预期相符，配体与中心原子数目比为</w:t>
      </w:r>
      <w:r w:rsidRPr="00B449F6">
        <w:rPr>
          <w:rFonts w:ascii="宋体" w:hAnsi="宋体" w:cs="宋体" w:hint="eastAsia"/>
          <w:position w:val="-10"/>
          <w:szCs w:val="21"/>
        </w:rPr>
        <w:object w:dxaOrig="388" w:dyaOrig="314" w14:anchorId="6806BF65">
          <v:shape id="_x0000_i1027" type="#_x0000_t75" style="width:19.4pt;height:15.65pt" o:ole="">
            <v:imagedata r:id="rId15" o:title=""/>
          </v:shape>
          <o:OLEObject Type="Embed" ProgID="Equation.AxMath" ShapeID="_x0000_i1027" DrawAspect="Content" ObjectID="_1828734152" r:id="rId16"/>
        </w:object>
      </w:r>
      <w:r>
        <w:rPr>
          <w:rFonts w:ascii="宋体" w:hAnsi="宋体" w:cs="宋体" w:hint="eastAsia"/>
          <w:szCs w:val="21"/>
        </w:rPr>
        <w:t>，即</w:t>
      </w:r>
      <w:r w:rsidR="008814C6">
        <w:rPr>
          <w:rFonts w:ascii="宋体" w:hAnsi="宋体" w:cs="宋体" w:hint="eastAsia"/>
          <w:szCs w:val="21"/>
        </w:rPr>
        <w:t>确定</w:t>
      </w:r>
      <w:r w:rsidRPr="00B449F6">
        <w:rPr>
          <w:rFonts w:ascii="宋体" w:hAnsi="宋体" w:cs="宋体" w:hint="eastAsia"/>
          <w:position w:val="-10"/>
          <w:szCs w:val="21"/>
        </w:rPr>
        <w:object w:dxaOrig="519" w:dyaOrig="314" w14:anchorId="388FB18D">
          <v:shape id="_x0000_i1028" type="#_x0000_t75" style="width:26pt;height:15.65pt" o:ole="">
            <v:imagedata r:id="rId17" o:title=""/>
          </v:shape>
          <o:OLEObject Type="Embed" ProgID="Equation.AxMath" ShapeID="_x0000_i1028" DrawAspect="Content" ObjectID="_1828734153" r:id="rId18"/>
        </w:object>
      </w:r>
      <w:r>
        <w:rPr>
          <w:rFonts w:ascii="宋体" w:hAnsi="宋体" w:cs="宋体" w:hint="eastAsia"/>
          <w:szCs w:val="21"/>
        </w:rPr>
        <w:t>。</w:t>
      </w:r>
    </w:p>
    <w:p w14:paraId="41B4B75F" w14:textId="1EC7624C" w:rsidR="00A81B46" w:rsidRDefault="00B449F6">
      <w:pPr>
        <w:tabs>
          <w:tab w:val="left" w:pos="0"/>
        </w:tabs>
        <w:spacing w:line="320" w:lineRule="exact"/>
        <w:rPr>
          <w:rFonts w:ascii="宋体" w:hAnsi="宋体" w:cs="宋体" w:hint="eastAsia"/>
          <w:szCs w:val="21"/>
        </w:rPr>
      </w:pPr>
      <w:r>
        <w:rPr>
          <w:rFonts w:ascii="宋体" w:hAnsi="宋体" w:cs="宋体"/>
          <w:szCs w:val="21"/>
        </w:rPr>
        <w:tab/>
      </w:r>
      <w:r>
        <w:rPr>
          <w:rFonts w:ascii="宋体" w:hAnsi="宋体" w:cs="宋体" w:hint="eastAsia"/>
          <w:szCs w:val="21"/>
        </w:rPr>
        <w:t>此时吸光度</w:t>
      </w:r>
      <w:r w:rsidRPr="00B449F6">
        <w:rPr>
          <w:rFonts w:ascii="宋体" w:hAnsi="宋体" w:cs="宋体" w:hint="eastAsia"/>
          <w:position w:val="-10"/>
          <w:szCs w:val="21"/>
        </w:rPr>
        <w:object w:dxaOrig="894" w:dyaOrig="314" w14:anchorId="5C1ED76F">
          <v:shape id="_x0000_i1029" type="#_x0000_t75" style="width:44.75pt;height:15.65pt" o:ole="">
            <v:imagedata r:id="rId19" o:title=""/>
          </v:shape>
          <o:OLEObject Type="Embed" ProgID="Equation.AxMath" ShapeID="_x0000_i1029" DrawAspect="Content" ObjectID="_1828734154" r:id="rId20"/>
        </w:object>
      </w:r>
      <w:r>
        <w:rPr>
          <w:rFonts w:ascii="宋体" w:hAnsi="宋体" w:cs="宋体" w:hint="eastAsia"/>
          <w:szCs w:val="21"/>
        </w:rPr>
        <w:t>，</w:t>
      </w:r>
      <w:r w:rsidR="008814C6">
        <w:rPr>
          <w:rFonts w:ascii="宋体" w:hAnsi="宋体" w:cs="宋体" w:hint="eastAsia"/>
          <w:szCs w:val="21"/>
        </w:rPr>
        <w:t>读取线性回归线交点纵坐标，计算得到</w:t>
      </w:r>
      <w:r w:rsidR="008814C6" w:rsidRPr="008814C6">
        <w:rPr>
          <w:rFonts w:ascii="宋体" w:hAnsi="宋体" w:cs="宋体" w:hint="eastAsia"/>
          <w:position w:val="-10"/>
          <w:szCs w:val="21"/>
        </w:rPr>
        <w:object w:dxaOrig="2599" w:dyaOrig="316" w14:anchorId="6CB1EDE4">
          <v:shape id="_x0000_i1030" type="#_x0000_t75" style="width:129.9pt;height:15.65pt" o:ole="">
            <v:imagedata r:id="rId21" o:title=""/>
          </v:shape>
          <o:OLEObject Type="Embed" ProgID="Equation.AxMath" ShapeID="_x0000_i1030" DrawAspect="Content" ObjectID="_1828734155" r:id="rId22"/>
        </w:object>
      </w:r>
      <w:r w:rsidR="008814C6">
        <w:rPr>
          <w:rFonts w:ascii="宋体" w:hAnsi="宋体" w:cs="宋体" w:hint="eastAsia"/>
          <w:szCs w:val="21"/>
        </w:rPr>
        <w:t>，与预期值相近，可见测定比较准确。</w:t>
      </w:r>
    </w:p>
    <w:p w14:paraId="4CEB80F1" w14:textId="6301BDFE" w:rsidR="00072122" w:rsidRDefault="00072122">
      <w:pPr>
        <w:tabs>
          <w:tab w:val="left" w:pos="0"/>
        </w:tabs>
        <w:spacing w:line="320" w:lineRule="exact"/>
        <w:rPr>
          <w:rFonts w:ascii="宋体" w:hAnsi="宋体" w:cs="宋体" w:hint="eastAsia"/>
          <w:szCs w:val="21"/>
        </w:rPr>
      </w:pPr>
    </w:p>
    <w:p w14:paraId="01BE77B2" w14:textId="77777777" w:rsidR="00F41F0C" w:rsidRDefault="00000000">
      <w:pPr>
        <w:tabs>
          <w:tab w:val="left" w:pos="0"/>
        </w:tabs>
        <w:spacing w:line="320" w:lineRule="exact"/>
        <w:rPr>
          <w:bCs/>
          <w:szCs w:val="21"/>
        </w:rPr>
      </w:pPr>
      <w:r>
        <w:rPr>
          <w:rFonts w:hint="eastAsia"/>
          <w:bCs/>
          <w:szCs w:val="21"/>
        </w:rPr>
        <w:tab/>
      </w:r>
    </w:p>
    <w:p w14:paraId="0302887D" w14:textId="4E62ACFF" w:rsidR="00F41F0C" w:rsidRDefault="00000000">
      <w:pPr>
        <w:tabs>
          <w:tab w:val="left" w:pos="0"/>
        </w:tabs>
        <w:spacing w:line="320" w:lineRule="exact"/>
        <w:rPr>
          <w:rFonts w:eastAsia="黑体"/>
          <w:b/>
          <w:bCs/>
          <w:sz w:val="28"/>
          <w:szCs w:val="28"/>
        </w:rPr>
      </w:pPr>
      <w:r>
        <w:rPr>
          <w:rFonts w:eastAsia="黑体" w:hint="eastAsia"/>
          <w:sz w:val="28"/>
          <w:szCs w:val="28"/>
        </w:rPr>
        <w:t xml:space="preserve">7  </w:t>
      </w:r>
      <w:r>
        <w:rPr>
          <w:rFonts w:eastAsia="黑体" w:hint="eastAsia"/>
          <w:sz w:val="28"/>
          <w:szCs w:val="28"/>
        </w:rPr>
        <w:t>思考题</w:t>
      </w:r>
    </w:p>
    <w:p w14:paraId="133AC5F5" w14:textId="77777777" w:rsidR="00F41F0C" w:rsidRDefault="00000000">
      <w:pPr>
        <w:rPr>
          <w:b/>
          <w:bCs/>
        </w:rPr>
      </w:pPr>
      <w:r>
        <w:rPr>
          <w:rFonts w:hint="eastAsia"/>
          <w:b/>
          <w:bCs/>
        </w:rPr>
        <w:t xml:space="preserve">7.1 </w:t>
      </w:r>
      <w:r>
        <w:rPr>
          <w:rFonts w:hint="eastAsia"/>
          <w:b/>
          <w:bCs/>
        </w:rPr>
        <w:t>如果溶液中同时有几种不同组成的配合物存在，能否用本实验的方法测定它们的组成和稳定常数？</w:t>
      </w:r>
    </w:p>
    <w:p w14:paraId="50C9085D" w14:textId="77777777" w:rsidR="00F41F0C" w:rsidRDefault="00000000">
      <w:pPr>
        <w:ind w:firstLineChars="200" w:firstLine="420"/>
        <w:rPr>
          <w:color w:val="0000FF"/>
        </w:rPr>
      </w:pPr>
      <w:r>
        <w:rPr>
          <w:color w:val="000000"/>
        </w:rPr>
        <w:t>可能无法实现；不同配合物可能在同一波长下存在吸收现象，从而会相互干扰测定的结果。</w:t>
      </w:r>
    </w:p>
    <w:p w14:paraId="4B52AB20" w14:textId="77777777" w:rsidR="00F41F0C" w:rsidRDefault="00000000">
      <w:r>
        <w:rPr>
          <w:rFonts w:hint="eastAsia"/>
          <w:b/>
          <w:bCs/>
        </w:rPr>
        <w:t xml:space="preserve">7.2 </w:t>
      </w:r>
      <w:r>
        <w:rPr>
          <w:rFonts w:hint="eastAsia"/>
          <w:b/>
          <w:bCs/>
        </w:rPr>
        <w:t>本实验为什么要比较严格地控制在</w:t>
      </w:r>
      <w:r>
        <w:rPr>
          <w:rFonts w:hint="eastAsia"/>
          <w:b/>
          <w:bCs/>
        </w:rPr>
        <w:t>pH 4~5</w:t>
      </w:r>
      <w:r>
        <w:rPr>
          <w:rFonts w:hint="eastAsia"/>
          <w:b/>
          <w:bCs/>
        </w:rPr>
        <w:t>下进行测定？</w:t>
      </w:r>
    </w:p>
    <w:p w14:paraId="3D7BBBFF" w14:textId="77777777" w:rsidR="00F41F0C" w:rsidRDefault="00000000">
      <w:pPr>
        <w:ind w:firstLineChars="200" w:firstLine="420"/>
        <w:rPr>
          <w:color w:val="000000"/>
        </w:rPr>
      </w:pPr>
      <w:r>
        <w:rPr>
          <w:rFonts w:hint="eastAsia"/>
          <w:color w:val="000000"/>
        </w:rPr>
        <w:t>确保</w:t>
      </w:r>
      <w:r>
        <w:rPr>
          <w:rFonts w:hint="eastAsia"/>
          <w:color w:val="000000"/>
        </w:rPr>
        <w:t xml:space="preserve"> Cu</w:t>
      </w:r>
      <w:r>
        <w:rPr>
          <w:rFonts w:hint="eastAsia"/>
          <w:color w:val="000000"/>
        </w:rPr>
        <w:t>²⁺与磺基水杨酸形成</w:t>
      </w:r>
      <w:r>
        <w:rPr>
          <w:rFonts w:hint="eastAsia"/>
          <w:color w:val="000000"/>
        </w:rPr>
        <w:t xml:space="preserve"> 1</w:t>
      </w:r>
      <w:r>
        <w:rPr>
          <w:rFonts w:hint="eastAsia"/>
          <w:color w:val="000000"/>
        </w:rPr>
        <w:t>：</w:t>
      </w:r>
      <w:r>
        <w:rPr>
          <w:rFonts w:hint="eastAsia"/>
          <w:color w:val="000000"/>
        </w:rPr>
        <w:t xml:space="preserve">1 </w:t>
      </w:r>
      <w:r>
        <w:rPr>
          <w:rFonts w:hint="eastAsia"/>
          <w:color w:val="000000"/>
        </w:rPr>
        <w:t>的配合物，否则很可能会形成其他不同比例的配合物。</w:t>
      </w:r>
    </w:p>
    <w:p w14:paraId="4EE80984" w14:textId="77777777" w:rsidR="00F41F0C" w:rsidRDefault="00000000">
      <w:pPr>
        <w:rPr>
          <w:b/>
          <w:bCs/>
        </w:rPr>
      </w:pPr>
      <w:r>
        <w:rPr>
          <w:rFonts w:hint="eastAsia"/>
          <w:b/>
          <w:bCs/>
        </w:rPr>
        <w:t xml:space="preserve">7.3 </w:t>
      </w:r>
      <w:r>
        <w:rPr>
          <w:rFonts w:hint="eastAsia"/>
          <w:b/>
          <w:bCs/>
        </w:rPr>
        <w:t>使用分光光度计应注意的事项有哪些？</w:t>
      </w:r>
    </w:p>
    <w:p w14:paraId="36C1EBAA" w14:textId="77777777" w:rsidR="00380B07" w:rsidRDefault="00000000">
      <w:pPr>
        <w:ind w:firstLineChars="200" w:firstLine="420"/>
        <w:rPr>
          <w:color w:val="000000"/>
        </w:rPr>
      </w:pPr>
      <w:r>
        <w:rPr>
          <w:color w:val="000000"/>
        </w:rPr>
        <w:t>在测定之前需要先进行空白调零操作，测定过程中要注意润洗比色皿，并且避免用手直接接触比色皿的透光面等。</w:t>
      </w:r>
    </w:p>
    <w:sectPr w:rsidR="00380B07">
      <w:headerReference w:type="even" r:id="rId23"/>
      <w:headerReference w:type="default" r:id="rId24"/>
      <w:footerReference w:type="even" r:id="rId25"/>
      <w:footerReference w:type="default" r:id="rId26"/>
      <w:headerReference w:type="first" r:id="rId27"/>
      <w:footerReference w:type="first" r:id="rId28"/>
      <w:pgSz w:w="11907" w:h="16840"/>
      <w:pgMar w:top="1134" w:right="1134" w:bottom="1134" w:left="1134" w:header="851" w:footer="57" w:gutter="0"/>
      <w:cols w:space="720"/>
      <w:docGrid w:type="lines" w:linePitch="315" w:charSpace="163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4AB3" w14:textId="77777777" w:rsidR="009D1318" w:rsidRDefault="009D1318">
      <w:r>
        <w:separator/>
      </w:r>
    </w:p>
  </w:endnote>
  <w:endnote w:type="continuationSeparator" w:id="0">
    <w:p w14:paraId="7A1F7659" w14:textId="77777777" w:rsidR="009D1318" w:rsidRDefault="009D1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2DE6" w14:textId="77777777" w:rsidR="00716092" w:rsidRDefault="0071609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9AD6" w14:textId="77777777" w:rsidR="00F41F0C" w:rsidRDefault="00F41F0C">
    <w:pPr>
      <w:pStyle w:val="a6"/>
      <w:jc w:val="center"/>
      <w:rPr>
        <w:rFonts w:ascii="宋体" w:hAnsi="宋体" w:hint="eastAsia"/>
        <w:sz w:val="21"/>
        <w:szCs w:val="21"/>
      </w:rPr>
    </w:pPr>
  </w:p>
  <w:p w14:paraId="15A5F077" w14:textId="77777777" w:rsidR="00F41F0C" w:rsidRDefault="00F41F0C">
    <w:pPr>
      <w:pStyle w:val="a6"/>
      <w:jc w:val="center"/>
      <w:rPr>
        <w:rFonts w:ascii="宋体" w:hAnsi="宋体" w:hint="eastAsia"/>
        <w:sz w:val="21"/>
        <w:szCs w:val="21"/>
      </w:rPr>
    </w:pPr>
  </w:p>
  <w:p w14:paraId="1A06CE37" w14:textId="77777777" w:rsidR="00F41F0C" w:rsidRDefault="00F41F0C">
    <w:pPr>
      <w:pStyle w:val="a6"/>
      <w:jc w:val="center"/>
      <w:rPr>
        <w:sz w:val="10"/>
      </w:rPr>
    </w:pPr>
  </w:p>
  <w:p w14:paraId="1221C450" w14:textId="77777777" w:rsidR="00F41F0C" w:rsidRDefault="00F41F0C">
    <w:pPr>
      <w:pStyle w:val="a6"/>
      <w:jc w:val="center"/>
      <w:rPr>
        <w:sz w:val="10"/>
      </w:rPr>
    </w:pPr>
  </w:p>
  <w:p w14:paraId="3474EA9C" w14:textId="4241FABC" w:rsidR="00F41F0C" w:rsidRDefault="006032D0">
    <w:pPr>
      <w:pStyle w:val="a6"/>
      <w:jc w:val="center"/>
      <w:rPr>
        <w:sz w:val="10"/>
      </w:rPr>
    </w:pPr>
    <w:r>
      <w:rPr>
        <w:rFonts w:ascii="宋体" w:hAnsi="宋体"/>
        <w:noProof/>
        <w:sz w:val="21"/>
        <w:szCs w:val="21"/>
      </w:rPr>
      <mc:AlternateContent>
        <mc:Choice Requires="wps">
          <w:drawing>
            <wp:anchor distT="0" distB="0" distL="114300" distR="114300" simplePos="0" relativeHeight="251657216" behindDoc="0" locked="0" layoutInCell="1" allowOverlap="1" wp14:anchorId="0FC7EF18" wp14:editId="0CDE2BC6">
              <wp:simplePos x="0" y="0"/>
              <wp:positionH relativeFrom="column">
                <wp:posOffset>0</wp:posOffset>
              </wp:positionH>
              <wp:positionV relativeFrom="paragraph">
                <wp:posOffset>34290</wp:posOffset>
              </wp:positionV>
              <wp:extent cx="6068695" cy="0"/>
              <wp:effectExtent l="5715" t="12700" r="12065" b="6350"/>
              <wp:wrapNone/>
              <wp:docPr id="1311946153"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8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1F07C" id="直线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77.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"/>
          </w:pict>
        </mc:Fallback>
      </mc:AlternateContent>
    </w:r>
  </w:p>
  <w:p w14:paraId="04592955" w14:textId="77777777" w:rsidR="00F41F0C" w:rsidRDefault="00F41F0C">
    <w:pPr>
      <w:pStyle w:val="a6"/>
      <w:jc w:val="center"/>
      <w:rPr>
        <w:sz w:val="10"/>
      </w:rPr>
    </w:pPr>
  </w:p>
  <w:p w14:paraId="6B93605E" w14:textId="77777777" w:rsidR="00F41F0C" w:rsidRDefault="00000000">
    <w:pPr>
      <w:pStyle w:val="a6"/>
      <w:jc w:val="center"/>
      <w:rPr>
        <w:sz w:val="10"/>
      </w:rPr>
    </w:pPr>
    <w:r>
      <w:rPr>
        <w:rFonts w:ascii="宋体" w:hAnsi="宋体" w:hint="eastAsia"/>
        <w:sz w:val="21"/>
        <w:szCs w:val="21"/>
      </w:rPr>
      <w:t>厦门大学化学实验教学示范中心</w:t>
    </w:r>
  </w:p>
  <w:p w14:paraId="0FE4E2B9" w14:textId="77777777" w:rsidR="00F41F0C" w:rsidRDefault="00F41F0C">
    <w:pPr>
      <w:pStyle w:val="a6"/>
      <w:jc w:val="center"/>
      <w:rPr>
        <w:sz w:val="10"/>
      </w:rPr>
    </w:pPr>
  </w:p>
  <w:p w14:paraId="5ADA8E53" w14:textId="77777777" w:rsidR="00F41F0C" w:rsidRDefault="00F41F0C">
    <w:pPr>
      <w:pStyle w:val="a6"/>
      <w:jc w:val="center"/>
      <w:rPr>
        <w:rFonts w:ascii="宋体" w:hAnsi="宋体" w:hint="eastAsia"/>
        <w:sz w:val="21"/>
        <w:szCs w:val="21"/>
      </w:rPr>
    </w:pPr>
  </w:p>
  <w:p w14:paraId="0D92EC0F" w14:textId="77777777" w:rsidR="00F41F0C" w:rsidRDefault="00F41F0C">
    <w:pPr>
      <w:pStyle w:val="a6"/>
      <w:jc w:val="center"/>
      <w:rPr>
        <w:sz w:val="10"/>
      </w:rPr>
    </w:pPr>
  </w:p>
  <w:p w14:paraId="5876B01F" w14:textId="77777777" w:rsidR="00F41F0C" w:rsidRDefault="00000000">
    <w:pPr>
      <w:pStyle w:val="a6"/>
      <w:wordWrap w:val="0"/>
      <w:jc w:val="right"/>
      <w:rPr>
        <w:rFonts w:ascii="华文行楷" w:eastAsia="华文行楷"/>
        <w:sz w:val="21"/>
      </w:rPr>
    </w:pPr>
    <w:r>
      <w:rPr>
        <w:rFonts w:ascii="华文行楷" w:eastAsia="华文行楷" w:hint="eastAsia"/>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B891" w14:textId="77777777" w:rsidR="00716092" w:rsidRDefault="0071609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53CC" w14:textId="77777777" w:rsidR="009D1318" w:rsidRDefault="009D1318">
      <w:r>
        <w:separator/>
      </w:r>
    </w:p>
  </w:footnote>
  <w:footnote w:type="continuationSeparator" w:id="0">
    <w:p w14:paraId="60A74C36" w14:textId="77777777" w:rsidR="009D1318" w:rsidRDefault="009D1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DD61" w14:textId="77777777" w:rsidR="00716092" w:rsidRDefault="0071609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A59D" w14:textId="22660CDF" w:rsidR="00072122" w:rsidRDefault="006032D0" w:rsidP="00072122">
    <w:pPr>
      <w:spacing w:line="360" w:lineRule="auto"/>
      <w:jc w:val="center"/>
      <w:rPr>
        <w:rFonts w:ascii="宋体" w:hAnsi="宋体" w:hint="eastAsia"/>
        <w:b/>
        <w:kern w:val="144"/>
        <w:sz w:val="36"/>
        <w:szCs w:val="36"/>
      </w:rPr>
    </w:pPr>
    <w:bookmarkStart w:id="0" w:name="_Hlk198585297"/>
    <w:bookmarkStart w:id="1" w:name="_Hlk198585298"/>
    <w:r>
      <w:rPr>
        <w:rFonts w:hint="eastAsia"/>
        <w:noProof/>
      </w:rPr>
      <w:drawing>
        <wp:anchor distT="0" distB="0" distL="114935" distR="114935" simplePos="0" relativeHeight="251658240" behindDoc="0" locked="0" layoutInCell="1" allowOverlap="0" wp14:anchorId="4743D179" wp14:editId="41C7A086">
          <wp:simplePos x="0" y="0"/>
          <wp:positionH relativeFrom="page">
            <wp:posOffset>1090295</wp:posOffset>
          </wp:positionH>
          <wp:positionV relativeFrom="page">
            <wp:posOffset>479425</wp:posOffset>
          </wp:positionV>
          <wp:extent cx="907415" cy="84074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415" cy="840740"/>
                  </a:xfrm>
                  <a:prstGeom prst="rect">
                    <a:avLst/>
                  </a:prstGeom>
                  <a:noFill/>
                </pic:spPr>
              </pic:pic>
            </a:graphicData>
          </a:graphic>
          <wp14:sizeRelH relativeFrom="page">
            <wp14:pctWidth>0</wp14:pctWidth>
          </wp14:sizeRelH>
          <wp14:sizeRelV relativeFrom="page">
            <wp14:pctHeight>0</wp14:pctHeight>
          </wp14:sizeRelV>
        </wp:anchor>
      </w:drawing>
    </w:r>
    <w:r w:rsidR="00072122">
      <w:rPr>
        <w:rFonts w:ascii="宋体" w:hAnsi="宋体" w:hint="eastAsia"/>
        <w:b/>
        <w:kern w:val="144"/>
        <w:sz w:val="36"/>
        <w:szCs w:val="36"/>
      </w:rPr>
      <w:t>中心科学实验</w:t>
    </w:r>
  </w:p>
  <w:p w14:paraId="19AE17BC" w14:textId="77777777" w:rsidR="00072122" w:rsidRDefault="00072122" w:rsidP="00072122">
    <w:pPr>
      <w:jc w:val="center"/>
      <w:rPr>
        <w:rFonts w:eastAsia="华文行楷"/>
        <w:sz w:val="44"/>
        <w:szCs w:val="44"/>
      </w:rPr>
    </w:pPr>
    <w:r>
      <w:rPr>
        <w:rFonts w:eastAsia="华文行楷" w:hint="eastAsia"/>
        <w:sz w:val="44"/>
        <w:szCs w:val="44"/>
      </w:rPr>
      <w:t>实</w:t>
    </w:r>
    <w:r>
      <w:rPr>
        <w:rFonts w:eastAsia="华文行楷" w:hint="eastAsia"/>
        <w:sz w:val="44"/>
        <w:szCs w:val="44"/>
      </w:rPr>
      <w:t xml:space="preserve"> </w:t>
    </w:r>
    <w:r>
      <w:rPr>
        <w:rFonts w:eastAsia="华文行楷" w:hint="eastAsia"/>
        <w:sz w:val="44"/>
        <w:szCs w:val="44"/>
      </w:rPr>
      <w:t>验</w:t>
    </w:r>
    <w:r>
      <w:rPr>
        <w:rFonts w:eastAsia="华文行楷" w:hint="eastAsia"/>
        <w:sz w:val="44"/>
        <w:szCs w:val="44"/>
      </w:rPr>
      <w:t xml:space="preserve"> </w:t>
    </w:r>
    <w:r>
      <w:rPr>
        <w:rFonts w:eastAsia="华文行楷" w:hint="eastAsia"/>
        <w:sz w:val="44"/>
        <w:szCs w:val="44"/>
      </w:rPr>
      <w:t>报</w:t>
    </w:r>
    <w:r>
      <w:rPr>
        <w:rFonts w:eastAsia="华文行楷" w:hint="eastAsia"/>
        <w:sz w:val="44"/>
        <w:szCs w:val="44"/>
      </w:rPr>
      <w:t xml:space="preserve"> </w:t>
    </w:r>
    <w:r>
      <w:rPr>
        <w:rFonts w:eastAsia="华文行楷" w:hint="eastAsia"/>
        <w:sz w:val="44"/>
        <w:szCs w:val="44"/>
      </w:rPr>
      <w:t>告</w:t>
    </w:r>
  </w:p>
  <w:p w14:paraId="46D13468" w14:textId="63625AD4" w:rsidR="00072122" w:rsidRDefault="00072122" w:rsidP="00072122">
    <w:pPr>
      <w:pStyle w:val="a7"/>
      <w:pBdr>
        <w:bottom w:val="single" w:sz="6" w:space="13" w:color="auto"/>
      </w:pBdr>
      <w:spacing w:line="360" w:lineRule="auto"/>
      <w:ind w:firstLineChars="100" w:firstLine="210"/>
      <w:jc w:val="both"/>
      <w:rPr>
        <w:sz w:val="21"/>
        <w:u w:val="single"/>
      </w:rPr>
    </w:pPr>
    <w:r>
      <w:rPr>
        <w:rFonts w:hint="eastAsia"/>
        <w:sz w:val="21"/>
        <w:u w:val="single"/>
      </w:rPr>
      <w:t xml:space="preserve">     </w:t>
    </w:r>
    <w:r w:rsidR="00716092">
      <w:rPr>
        <w:rFonts w:hint="eastAsia"/>
        <w:sz w:val="21"/>
        <w:u w:val="single"/>
      </w:rPr>
      <w:t xml:space="preserve">    </w:t>
    </w:r>
    <w:r>
      <w:rPr>
        <w:rFonts w:hint="eastAsia"/>
        <w:sz w:val="21"/>
        <w:u w:val="single"/>
      </w:rPr>
      <w:t xml:space="preserve">   </w:t>
    </w:r>
    <w:r>
      <w:rPr>
        <w:rFonts w:hint="eastAsia"/>
        <w:sz w:val="21"/>
      </w:rPr>
      <w:t>系</w:t>
    </w:r>
    <w:r>
      <w:rPr>
        <w:rFonts w:hint="eastAsia"/>
        <w:sz w:val="21"/>
      </w:rPr>
      <w:t xml:space="preserve"> </w:t>
    </w:r>
    <w:r>
      <w:rPr>
        <w:rFonts w:hint="eastAsia"/>
        <w:sz w:val="21"/>
        <w:u w:val="single"/>
      </w:rPr>
      <w:t xml:space="preserve">     </w:t>
    </w:r>
    <w:r w:rsidR="00716092">
      <w:rPr>
        <w:rFonts w:hint="eastAsia"/>
        <w:sz w:val="21"/>
        <w:u w:val="single"/>
      </w:rPr>
      <w:t xml:space="preserve">   </w:t>
    </w:r>
    <w:r>
      <w:rPr>
        <w:rFonts w:hint="eastAsia"/>
        <w:sz w:val="21"/>
        <w:u w:val="single"/>
      </w:rPr>
      <w:t xml:space="preserve">    </w:t>
    </w:r>
    <w:r>
      <w:rPr>
        <w:rFonts w:hint="eastAsia"/>
        <w:sz w:val="21"/>
      </w:rPr>
      <w:t>专业</w:t>
    </w:r>
    <w:r>
      <w:rPr>
        <w:rFonts w:hint="eastAsia"/>
        <w:sz w:val="21"/>
      </w:rPr>
      <w:t xml:space="preserve">  </w:t>
    </w:r>
    <w:r>
      <w:rPr>
        <w:rFonts w:hint="eastAsia"/>
        <w:sz w:val="21"/>
      </w:rPr>
      <w:t>学号</w:t>
    </w:r>
    <w:r>
      <w:rPr>
        <w:rFonts w:hint="eastAsia"/>
        <w:sz w:val="21"/>
        <w:u w:val="single"/>
      </w:rPr>
      <w:t xml:space="preserve">    </w:t>
    </w:r>
    <w:r w:rsidR="00716092">
      <w:rPr>
        <w:rFonts w:hint="eastAsia"/>
        <w:sz w:val="21"/>
        <w:u w:val="single"/>
      </w:rPr>
      <w:t xml:space="preserve">        </w:t>
    </w:r>
    <w:r>
      <w:rPr>
        <w:rFonts w:hint="eastAsia"/>
        <w:sz w:val="21"/>
        <w:u w:val="single"/>
      </w:rPr>
      <w:t xml:space="preserve">    </w:t>
    </w:r>
    <w:r>
      <w:rPr>
        <w:rFonts w:hint="eastAsia"/>
        <w:sz w:val="21"/>
      </w:rPr>
      <w:t xml:space="preserve">  </w:t>
    </w:r>
    <w:r>
      <w:rPr>
        <w:rFonts w:hint="eastAsia"/>
        <w:sz w:val="21"/>
      </w:rPr>
      <w:t>姓名</w:t>
    </w:r>
    <w:r>
      <w:rPr>
        <w:rFonts w:hint="eastAsia"/>
        <w:sz w:val="21"/>
      </w:rPr>
      <w:t xml:space="preserve"> </w:t>
    </w:r>
    <w:r>
      <w:rPr>
        <w:rFonts w:hint="eastAsia"/>
        <w:sz w:val="21"/>
        <w:u w:val="single"/>
      </w:rPr>
      <w:t xml:space="preserve">     </w:t>
    </w:r>
    <w:r w:rsidR="00716092">
      <w:rPr>
        <w:rFonts w:hint="eastAsia"/>
        <w:sz w:val="21"/>
        <w:u w:val="single"/>
      </w:rPr>
      <w:t xml:space="preserve">    </w:t>
    </w:r>
    <w:r>
      <w:rPr>
        <w:rFonts w:hint="eastAsia"/>
        <w:sz w:val="21"/>
        <w:u w:val="single"/>
      </w:rPr>
      <w:t xml:space="preserve">     </w:t>
    </w:r>
  </w:p>
  <w:p w14:paraId="62D44840" w14:textId="77777777" w:rsidR="00F41F0C" w:rsidRPr="00072122" w:rsidRDefault="00072122" w:rsidP="00072122">
    <w:pPr>
      <w:pStyle w:val="a7"/>
      <w:pBdr>
        <w:bottom w:val="single" w:sz="6" w:space="13" w:color="auto"/>
      </w:pBdr>
      <w:spacing w:line="360" w:lineRule="auto"/>
      <w:ind w:firstLineChars="100" w:firstLine="210"/>
      <w:jc w:val="both"/>
      <w:rPr>
        <w:sz w:val="21"/>
        <w:u w:val="single"/>
      </w:rPr>
    </w:pPr>
    <w:r>
      <w:rPr>
        <w:rFonts w:hint="eastAsia"/>
        <w:sz w:val="21"/>
      </w:rPr>
      <w:t>日期</w:t>
    </w:r>
    <w:r>
      <w:rPr>
        <w:rFonts w:hint="eastAsia"/>
        <w:sz w:val="21"/>
      </w:rPr>
      <w:t xml:space="preserve"> </w:t>
    </w:r>
    <w:r>
      <w:rPr>
        <w:rFonts w:hint="eastAsia"/>
        <w:sz w:val="21"/>
        <w:u w:val="single"/>
      </w:rPr>
      <w:t xml:space="preserve">     2025.5.23     </w:t>
    </w:r>
    <w:r>
      <w:rPr>
        <w:rFonts w:hint="eastAsia"/>
        <w:sz w:val="21"/>
      </w:rPr>
      <w:t xml:space="preserve">   </w:t>
    </w:r>
    <w:r>
      <w:rPr>
        <w:rFonts w:hint="eastAsia"/>
        <w:sz w:val="21"/>
      </w:rPr>
      <w:t>成绩</w:t>
    </w:r>
    <w:r>
      <w:rPr>
        <w:rFonts w:hint="eastAsia"/>
        <w:sz w:val="21"/>
      </w:rPr>
      <w:t xml:space="preserve"> </w:t>
    </w:r>
    <w:r>
      <w:rPr>
        <w:rFonts w:hint="eastAsia"/>
        <w:sz w:val="21"/>
        <w:u w:val="single"/>
      </w:rPr>
      <w:t xml:space="preserve">                    </w:t>
    </w:r>
    <w:r>
      <w:rPr>
        <w:rFonts w:hint="eastAsia"/>
        <w:sz w:val="21"/>
      </w:rPr>
      <w:t xml:space="preserve">     </w:t>
    </w:r>
    <w:r>
      <w:rPr>
        <w:rFonts w:hint="eastAsia"/>
        <w:sz w:val="21"/>
      </w:rPr>
      <w:t>指导教师</w:t>
    </w:r>
    <w:r>
      <w:rPr>
        <w:rFonts w:hint="eastAsia"/>
        <w:sz w:val="21"/>
      </w:rPr>
      <w:t xml:space="preserve"> </w:t>
    </w:r>
    <w:r>
      <w:rPr>
        <w:rFonts w:hint="eastAsia"/>
        <w:sz w:val="21"/>
        <w:u w:val="single"/>
      </w:rPr>
      <w:t xml:space="preserve">                 </w:t>
    </w:r>
    <w:bookmarkEnd w:id="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68A8" w14:textId="77777777" w:rsidR="00716092" w:rsidRDefault="0071609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B0FB9"/>
    <w:multiLevelType w:val="singleLevel"/>
    <w:tmpl w:val="939B0FB9"/>
    <w:lvl w:ilvl="0">
      <w:start w:val="1"/>
      <w:numFmt w:val="decimal"/>
      <w:suff w:val="nothing"/>
      <w:lvlText w:val="（%1）"/>
      <w:lvlJc w:val="left"/>
    </w:lvl>
  </w:abstractNum>
  <w:num w:numId="1" w16cid:durableId="189735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503"/>
  <w:drawingGridVerticalSpacing w:val="31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I2MTQ5ZTNlMWIyMDMzOWI1MTRmYTIyZjgzNzJiOTYifQ=="/>
  </w:docVars>
  <w:rsids>
    <w:rsidRoot w:val="006179F2"/>
    <w:rsid w:val="000207F9"/>
    <w:rsid w:val="00072122"/>
    <w:rsid w:val="000726B9"/>
    <w:rsid w:val="000A3051"/>
    <w:rsid w:val="00106A05"/>
    <w:rsid w:val="001421CB"/>
    <w:rsid w:val="00171E0D"/>
    <w:rsid w:val="001A17E2"/>
    <w:rsid w:val="001B2243"/>
    <w:rsid w:val="001D7639"/>
    <w:rsid w:val="00211FC1"/>
    <w:rsid w:val="002B784C"/>
    <w:rsid w:val="00311656"/>
    <w:rsid w:val="00380917"/>
    <w:rsid w:val="00380B07"/>
    <w:rsid w:val="003B1393"/>
    <w:rsid w:val="003D6A65"/>
    <w:rsid w:val="004934BF"/>
    <w:rsid w:val="005D708A"/>
    <w:rsid w:val="006032D0"/>
    <w:rsid w:val="00615B6C"/>
    <w:rsid w:val="006179F2"/>
    <w:rsid w:val="006911D6"/>
    <w:rsid w:val="006975FC"/>
    <w:rsid w:val="006A6157"/>
    <w:rsid w:val="006B7D52"/>
    <w:rsid w:val="00716092"/>
    <w:rsid w:val="007547A0"/>
    <w:rsid w:val="00764AB5"/>
    <w:rsid w:val="007810CB"/>
    <w:rsid w:val="00793425"/>
    <w:rsid w:val="00820DF6"/>
    <w:rsid w:val="008814C6"/>
    <w:rsid w:val="008C2C30"/>
    <w:rsid w:val="00946DAE"/>
    <w:rsid w:val="00950230"/>
    <w:rsid w:val="00991BA3"/>
    <w:rsid w:val="009D1318"/>
    <w:rsid w:val="00A81B46"/>
    <w:rsid w:val="00B31143"/>
    <w:rsid w:val="00B340D4"/>
    <w:rsid w:val="00B449F6"/>
    <w:rsid w:val="00B67153"/>
    <w:rsid w:val="00B91091"/>
    <w:rsid w:val="00BA6D31"/>
    <w:rsid w:val="00C0734A"/>
    <w:rsid w:val="00C45C9A"/>
    <w:rsid w:val="00C91C3A"/>
    <w:rsid w:val="00D633C7"/>
    <w:rsid w:val="00DF1FC6"/>
    <w:rsid w:val="00E20048"/>
    <w:rsid w:val="00E25342"/>
    <w:rsid w:val="00E67FCB"/>
    <w:rsid w:val="00E70F90"/>
    <w:rsid w:val="00E840B9"/>
    <w:rsid w:val="00E9455E"/>
    <w:rsid w:val="00EB3543"/>
    <w:rsid w:val="00F369EB"/>
    <w:rsid w:val="00F41F0C"/>
    <w:rsid w:val="00FC115C"/>
    <w:rsid w:val="0C9723E5"/>
    <w:rsid w:val="1B621094"/>
    <w:rsid w:val="20A53E7D"/>
    <w:rsid w:val="22FC5BF5"/>
    <w:rsid w:val="24414D91"/>
    <w:rsid w:val="256F697F"/>
    <w:rsid w:val="26663175"/>
    <w:rsid w:val="27912D49"/>
    <w:rsid w:val="314874A1"/>
    <w:rsid w:val="34B2704A"/>
    <w:rsid w:val="390965E8"/>
    <w:rsid w:val="3A025D5C"/>
    <w:rsid w:val="3C5946AB"/>
    <w:rsid w:val="3D4908FA"/>
    <w:rsid w:val="3F687B48"/>
    <w:rsid w:val="4EEB4F36"/>
    <w:rsid w:val="567A3A2B"/>
    <w:rsid w:val="56E40A94"/>
    <w:rsid w:val="65E00E52"/>
    <w:rsid w:val="6C561165"/>
    <w:rsid w:val="6D8064F3"/>
    <w:rsid w:val="6EC719F1"/>
    <w:rsid w:val="6F426D78"/>
    <w:rsid w:val="76CA4E14"/>
    <w:rsid w:val="7EAC7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9A3E02"/>
  <w15:chartTrackingRefBased/>
  <w15:docId w15:val="{8A736E3C-8491-437A-9A2A-6BDF05D1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Body Text Indent"/>
    <w:basedOn w:val="a"/>
    <w:pPr>
      <w:ind w:firstLine="435"/>
    </w:pPr>
    <w:rPr>
      <w:sz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Subtitle"/>
    <w:basedOn w:val="a"/>
    <w:qFormat/>
    <w:pPr>
      <w:spacing w:before="240" w:after="60" w:line="312" w:lineRule="auto"/>
      <w:jc w:val="center"/>
      <w:outlineLvl w:val="1"/>
    </w:pPr>
    <w:rPr>
      <w:rFonts w:ascii="Arial" w:hAnsi="Arial" w:cs="Arial"/>
      <w:b/>
      <w:bCs/>
      <w:kern w:val="28"/>
      <w:sz w:val="32"/>
      <w:szCs w:val="32"/>
      <w:vertAlign w:val="subscript"/>
    </w:rPr>
  </w:style>
  <w:style w:type="paragraph" w:styleId="aa">
    <w:name w:val="footnote text"/>
    <w:basedOn w:val="a"/>
    <w:semiHidden/>
    <w:pPr>
      <w:snapToGrid w:val="0"/>
      <w:jc w:val="left"/>
    </w:pPr>
    <w:rPr>
      <w:sz w:val="18"/>
      <w:szCs w:val="18"/>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style>
  <w:style w:type="character" w:styleId="ad">
    <w:name w:val="Hyperlink"/>
    <w:rPr>
      <w:color w:val="0563C1"/>
      <w:u w:val="single"/>
    </w:rPr>
  </w:style>
  <w:style w:type="character" w:styleId="ae">
    <w:name w:val="footnote reference"/>
    <w:semiHidden/>
    <w:rPr>
      <w:vertAlign w:val="superscript"/>
    </w:rPr>
  </w:style>
  <w:style w:type="paragraph" w:customStyle="1" w:styleId="af">
    <w:name w:val="作者单位"/>
    <w:basedOn w:val="a"/>
    <w:next w:val="a"/>
    <w:pPr>
      <w:suppressAutoHyphens/>
      <w:spacing w:line="180" w:lineRule="exact"/>
      <w:jc w:val="center"/>
      <w:outlineLvl w:val="0"/>
    </w:pPr>
    <w:rPr>
      <w:i/>
      <w:sz w:val="15"/>
    </w:rPr>
  </w:style>
  <w:style w:type="paragraph" w:customStyle="1" w:styleId="af0">
    <w:name w:val="作者名字"/>
    <w:basedOn w:val="a"/>
    <w:next w:val="af"/>
    <w:pPr>
      <w:suppressAutoHyphens/>
      <w:spacing w:line="262" w:lineRule="exact"/>
      <w:jc w:val="center"/>
      <w:outlineLvl w:val="0"/>
    </w:pPr>
  </w:style>
  <w:style w:type="paragraph" w:customStyle="1" w:styleId="af1">
    <w:name w:val="文章标题"/>
    <w:basedOn w:val="a"/>
    <w:next w:val="af0"/>
    <w:pPr>
      <w:suppressAutoHyphens/>
      <w:spacing w:before="100" w:beforeAutospacing="1" w:after="100" w:afterAutospacing="1" w:line="420" w:lineRule="exact"/>
      <w:jc w:val="center"/>
      <w:outlineLvl w:val="0"/>
    </w:pPr>
    <w:rPr>
      <w:rFonts w:cs="Arial"/>
      <w:b/>
      <w:bCs/>
      <w:sz w:val="28"/>
      <w:szCs w:val="32"/>
    </w:rPr>
  </w:style>
  <w:style w:type="character" w:styleId="af2">
    <w:name w:val="Unresolved Mention"/>
    <w:uiPriority w:val="99"/>
    <w:unhideWhenUsed/>
    <w:rPr>
      <w:color w:val="605E5C"/>
      <w:shd w:val="clear" w:color="auto" w:fill="E1DFDD"/>
    </w:rPr>
  </w:style>
  <w:style w:type="paragraph" w:styleId="af3">
    <w:name w:val="List Paragraph"/>
    <w:basedOn w:val="a"/>
    <w:uiPriority w:val="34"/>
    <w:qFormat/>
    <w:pPr>
      <w:ind w:firstLineChars="200" w:firstLine="420"/>
    </w:pPr>
  </w:style>
  <w:style w:type="character" w:customStyle="1" w:styleId="a8">
    <w:name w:val="页眉 字符"/>
    <w:link w:val="a7"/>
    <w:rsid w:val="00072122"/>
    <w:rPr>
      <w:kern w:val="2"/>
      <w:sz w:val="18"/>
      <w:szCs w:val="18"/>
    </w:rPr>
  </w:style>
  <w:style w:type="paragraph" w:customStyle="1" w:styleId="AMDisplayEquation">
    <w:name w:val="AMDisplayEquation"/>
    <w:basedOn w:val="a"/>
    <w:next w:val="a"/>
    <w:link w:val="AMDisplayEquation0"/>
    <w:rsid w:val="00B449F6"/>
    <w:pPr>
      <w:tabs>
        <w:tab w:val="center" w:pos="4820"/>
        <w:tab w:val="right" w:pos="9640"/>
      </w:tabs>
      <w:spacing w:line="320" w:lineRule="exact"/>
    </w:pPr>
    <w:rPr>
      <w:rFonts w:ascii="宋体" w:hAnsi="宋体" w:cs="宋体"/>
      <w:szCs w:val="21"/>
    </w:rPr>
  </w:style>
  <w:style w:type="character" w:customStyle="1" w:styleId="AMDisplayEquation0">
    <w:name w:val="AMDisplayEquation 字符"/>
    <w:link w:val="AMDisplayEquation"/>
    <w:rsid w:val="00B449F6"/>
    <w:rPr>
      <w:rFonts w:ascii="宋体" w:hAnsi="宋体" w:cs="宋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9638">
      <w:bodyDiv w:val="1"/>
      <w:marLeft w:val="0"/>
      <w:marRight w:val="0"/>
      <w:marTop w:val="0"/>
      <w:marBottom w:val="0"/>
      <w:divBdr>
        <w:top w:val="none" w:sz="0" w:space="0" w:color="auto"/>
        <w:left w:val="none" w:sz="0" w:space="0" w:color="auto"/>
        <w:bottom w:val="none" w:sz="0" w:space="0" w:color="auto"/>
        <w:right w:val="none" w:sz="0" w:space="0" w:color="auto"/>
      </w:divBdr>
    </w:div>
    <w:div w:id="1490291923">
      <w:bodyDiv w:val="1"/>
      <w:marLeft w:val="0"/>
      <w:marRight w:val="0"/>
      <w:marTop w:val="0"/>
      <w:marBottom w:val="0"/>
      <w:divBdr>
        <w:top w:val="none" w:sz="0" w:space="0" w:color="auto"/>
        <w:left w:val="none" w:sz="0" w:space="0" w:color="auto"/>
        <w:bottom w:val="none" w:sz="0" w:space="0" w:color="auto"/>
        <w:right w:val="none" w:sz="0" w:space="0" w:color="auto"/>
      </w:divBdr>
    </w:div>
    <w:div w:id="180291565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79E74-C29A-4B17-8174-AC39002EA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漳州校区化学实验室设计参考意见</dc:title>
  <dc:subject/>
  <dc:creator>s</dc:creator>
  <cp:keywords/>
  <dc:description/>
  <cp:lastModifiedBy>alkali soir</cp:lastModifiedBy>
  <cp:revision>2</cp:revision>
  <cp:lastPrinted>2006-02-13T07:58:00Z</cp:lastPrinted>
  <dcterms:created xsi:type="dcterms:W3CDTF">2025-12-31T16:56:00Z</dcterms:created>
  <dcterms:modified xsi:type="dcterms:W3CDTF">2025-12-31T16:56:00Z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4359998122544C7AAED8859BCD1E53C2_13</vt:lpwstr>
  </property>
  <property fmtid="{D5CDD505-2E9C-101B-9397-08002B2CF9AE}" pid="4" name="KSOTemplateDocerSaveRecord">
    <vt:lpwstr>eyJoZGlkIjoiMDliYTU5OGY0MmFjMmRiY2QxNmIwYWJhZjBiY2MwZjkiLCJ1c2VySWQiOiI0NDg1OTk2NjMifQ==</vt:lpwstr>
  </property>
  <property fmtid="{D5CDD505-2E9C-101B-9397-08002B2CF9AE}" pid="5" name="AMWinEqns">
    <vt:bool>true</vt:bool>
  </property>
</Properties>
</file>