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ED2C5E" w14:textId="77777777" w:rsidR="00400FB3" w:rsidRPr="00400FB3" w:rsidRDefault="00400FB3" w:rsidP="009E35AE">
      <w:pPr>
        <w:rPr>
          <w:rFonts w:ascii="Calibri" w:hAnsi="Calibri" w:cs="Calibri"/>
          <w:sz w:val="20"/>
          <w:szCs w:val="20"/>
        </w:rPr>
      </w:pPr>
      <w:r w:rsidRPr="00400FB3">
        <w:rPr>
          <w:rFonts w:ascii="Calibri" w:hAnsi="Calibri" w:cs="Calibri"/>
          <w:b/>
          <w:bCs/>
          <w:sz w:val="20"/>
          <w:szCs w:val="20"/>
        </w:rPr>
        <w:t xml:space="preserve">Objective: </w:t>
      </w:r>
    </w:p>
    <w:p w14:paraId="00A31C28" w14:textId="4847E097" w:rsidR="00E90CA9" w:rsidRPr="005B1DCB" w:rsidRDefault="00400FB3" w:rsidP="009E35AE">
      <w:pPr>
        <w:rPr>
          <w:rFonts w:ascii="Calibri" w:hAnsi="Calibri" w:cs="Calibri"/>
          <w:b/>
          <w:bCs/>
          <w:sz w:val="20"/>
          <w:szCs w:val="20"/>
        </w:rPr>
      </w:pPr>
      <w:r w:rsidRPr="00400FB3">
        <w:rPr>
          <w:rFonts w:ascii="Calibri" w:hAnsi="Calibri" w:cs="Calibri"/>
          <w:b/>
          <w:bCs/>
          <w:sz w:val="20"/>
          <w:szCs w:val="20"/>
        </w:rPr>
        <w:t xml:space="preserve">Provide a comprehensive summary of </w:t>
      </w:r>
      <w:r w:rsidR="00151A17" w:rsidRPr="00400FB3">
        <w:rPr>
          <w:rFonts w:ascii="Calibri" w:hAnsi="Calibri" w:cs="Calibri"/>
          <w:b/>
          <w:bCs/>
          <w:sz w:val="20"/>
          <w:szCs w:val="20"/>
        </w:rPr>
        <w:t xml:space="preserve">Visualizing Data using t-SNE" by Laurens van der </w:t>
      </w:r>
      <w:proofErr w:type="spellStart"/>
      <w:r w:rsidR="00151A17" w:rsidRPr="00400FB3">
        <w:rPr>
          <w:rFonts w:ascii="Calibri" w:hAnsi="Calibri" w:cs="Calibri"/>
          <w:b/>
          <w:bCs/>
          <w:sz w:val="20"/>
          <w:szCs w:val="20"/>
        </w:rPr>
        <w:t>Maaten</w:t>
      </w:r>
      <w:proofErr w:type="spellEnd"/>
      <w:r w:rsidR="00151A17" w:rsidRPr="00400FB3">
        <w:rPr>
          <w:rFonts w:ascii="Calibri" w:hAnsi="Calibri" w:cs="Calibri"/>
          <w:b/>
          <w:bCs/>
          <w:sz w:val="20"/>
          <w:szCs w:val="20"/>
        </w:rPr>
        <w:t xml:space="preserve"> and Geoffrey Hinton</w:t>
      </w:r>
      <w:r w:rsidRPr="00400FB3">
        <w:rPr>
          <w:rFonts w:ascii="Calibri" w:hAnsi="Calibri" w:cs="Calibri"/>
          <w:b/>
          <w:bCs/>
          <w:sz w:val="20"/>
          <w:szCs w:val="20"/>
        </w:rPr>
        <w:t xml:space="preserve">. </w:t>
      </w:r>
    </w:p>
    <w:p w14:paraId="3B4BE465" w14:textId="20BBD7A5" w:rsidR="00400FB3" w:rsidRPr="00400FB3" w:rsidRDefault="00400FB3" w:rsidP="009E35AE">
      <w:pPr>
        <w:rPr>
          <w:rFonts w:ascii="Calibri" w:hAnsi="Calibri" w:cs="Calibri"/>
          <w:sz w:val="20"/>
          <w:szCs w:val="20"/>
        </w:rPr>
      </w:pPr>
    </w:p>
    <w:p w14:paraId="6985D3FA" w14:textId="77777777" w:rsidR="00400FB3" w:rsidRPr="00400FB3" w:rsidRDefault="00400FB3" w:rsidP="00A844A8">
      <w:pPr>
        <w:numPr>
          <w:ilvl w:val="1"/>
          <w:numId w:val="1"/>
        </w:numPr>
        <w:tabs>
          <w:tab w:val="clear" w:pos="1440"/>
          <w:tab w:val="num" w:pos="360"/>
        </w:tabs>
        <w:ind w:left="270"/>
        <w:rPr>
          <w:rFonts w:ascii="Calibri" w:hAnsi="Calibri" w:cs="Calibri"/>
          <w:sz w:val="22"/>
          <w:szCs w:val="22"/>
        </w:rPr>
      </w:pPr>
      <w:r w:rsidRPr="00400FB3">
        <w:rPr>
          <w:rFonts w:ascii="Calibri" w:hAnsi="Calibri" w:cs="Calibri"/>
          <w:b/>
          <w:bCs/>
          <w:sz w:val="22"/>
          <w:szCs w:val="22"/>
        </w:rPr>
        <w:t xml:space="preserve">Summary: </w:t>
      </w:r>
    </w:p>
    <w:p w14:paraId="29165C33" w14:textId="6BDB22F1" w:rsidR="00A61F9F" w:rsidRPr="002575B7" w:rsidRDefault="00400FB3" w:rsidP="00A844A8">
      <w:pPr>
        <w:pStyle w:val="ListParagraph"/>
        <w:numPr>
          <w:ilvl w:val="0"/>
          <w:numId w:val="4"/>
        </w:numPr>
        <w:tabs>
          <w:tab w:val="num" w:pos="720"/>
        </w:tabs>
        <w:ind w:left="270"/>
        <w:rPr>
          <w:rFonts w:ascii="Calibri" w:hAnsi="Calibri" w:cs="Calibri"/>
          <w:b/>
          <w:bCs/>
          <w:sz w:val="20"/>
          <w:szCs w:val="20"/>
        </w:rPr>
      </w:pPr>
      <w:r w:rsidRPr="002575B7">
        <w:rPr>
          <w:rFonts w:ascii="Calibri" w:hAnsi="Calibri" w:cs="Calibri"/>
          <w:b/>
          <w:bCs/>
          <w:sz w:val="20"/>
          <w:szCs w:val="20"/>
        </w:rPr>
        <w:t xml:space="preserve">Outline the main objectives and contributions of the paper. </w:t>
      </w:r>
    </w:p>
    <w:p w14:paraId="3D8476E3" w14:textId="4479095D" w:rsidR="00A61F9F" w:rsidRPr="002575B7" w:rsidRDefault="00A61F9F" w:rsidP="00A844A8">
      <w:pPr>
        <w:ind w:left="270"/>
        <w:jc w:val="both"/>
        <w:rPr>
          <w:rFonts w:ascii="Calibri" w:hAnsi="Calibri" w:cs="Calibri"/>
          <w:sz w:val="20"/>
          <w:szCs w:val="20"/>
        </w:rPr>
      </w:pPr>
      <w:r w:rsidRPr="002575B7">
        <w:rPr>
          <w:rFonts w:ascii="Calibri" w:hAnsi="Calibri" w:cs="Calibri"/>
          <w:sz w:val="20"/>
          <w:szCs w:val="20"/>
        </w:rPr>
        <w:t>The paper introduces a technique known as t-distributed Stochastic Neighbor Embedding</w:t>
      </w:r>
      <w:r w:rsidR="00F91DC0" w:rsidRPr="002575B7">
        <w:rPr>
          <w:rFonts w:ascii="Calibri" w:hAnsi="Calibri" w:cs="Calibri"/>
          <w:sz w:val="20"/>
          <w:szCs w:val="20"/>
        </w:rPr>
        <w:t xml:space="preserve">, also known as </w:t>
      </w:r>
      <w:proofErr w:type="spellStart"/>
      <w:r w:rsidRPr="002575B7">
        <w:rPr>
          <w:rFonts w:ascii="Calibri" w:hAnsi="Calibri" w:cs="Calibri"/>
          <w:sz w:val="20"/>
          <w:szCs w:val="20"/>
        </w:rPr>
        <w:t>tSN</w:t>
      </w:r>
      <w:r w:rsidR="00F91DC0" w:rsidRPr="002575B7">
        <w:rPr>
          <w:rFonts w:ascii="Calibri" w:hAnsi="Calibri" w:cs="Calibri"/>
          <w:sz w:val="20"/>
          <w:szCs w:val="20"/>
        </w:rPr>
        <w:t>E</w:t>
      </w:r>
      <w:proofErr w:type="spellEnd"/>
      <w:r w:rsidR="00F91DC0" w:rsidRPr="002575B7">
        <w:rPr>
          <w:rFonts w:ascii="Calibri" w:hAnsi="Calibri" w:cs="Calibri"/>
          <w:sz w:val="20"/>
          <w:szCs w:val="20"/>
        </w:rPr>
        <w:t>, is</w:t>
      </w:r>
      <w:r w:rsidRPr="002575B7">
        <w:rPr>
          <w:rFonts w:ascii="Calibri" w:hAnsi="Calibri" w:cs="Calibri"/>
          <w:sz w:val="20"/>
          <w:szCs w:val="20"/>
        </w:rPr>
        <w:t xml:space="preserve"> </w:t>
      </w:r>
      <w:r w:rsidR="00173B4E" w:rsidRPr="002575B7">
        <w:rPr>
          <w:rFonts w:ascii="Calibri" w:hAnsi="Calibri" w:cs="Calibri"/>
          <w:sz w:val="20"/>
          <w:szCs w:val="20"/>
        </w:rPr>
        <w:t>designed</w:t>
      </w:r>
      <w:r w:rsidRPr="002575B7">
        <w:rPr>
          <w:rFonts w:ascii="Calibri" w:hAnsi="Calibri" w:cs="Calibri"/>
          <w:sz w:val="20"/>
          <w:szCs w:val="20"/>
        </w:rPr>
        <w:t xml:space="preserve"> to visualize the high dimensional data of a given dataset by mapping it to lower dimensional spaces such as 2D or 3D. The paper aims to demonstrate three main objectives relating to this technique. First, the authors present the model as a method that overcomes the current (at the time) limitations of visualization techniques by addressing what is known as the “crowding problem” which was inherent in methods like SNE, or Stochastic Neighbor Embedding. This is done through modifications of the SNE model to create a symmetric version with simpler gradients. This results in making the optimization process more efficient.</w:t>
      </w:r>
      <w:r w:rsidR="00677B68" w:rsidRPr="002575B7">
        <w:rPr>
          <w:rFonts w:ascii="Calibri" w:hAnsi="Calibri" w:cs="Calibri"/>
          <w:sz w:val="20"/>
          <w:szCs w:val="20"/>
        </w:rPr>
        <w:t xml:space="preserve"> Another modification is using a heavy-tailed Student t-distribution in the low-dimensional space to compute similarities. This helps reduce the crowding problem by allowing moderate distances in high-dimensional space to be represented by larger distances in the map. </w:t>
      </w:r>
      <w:r w:rsidRPr="002575B7">
        <w:rPr>
          <w:rFonts w:ascii="Calibri" w:hAnsi="Calibri" w:cs="Calibri"/>
          <w:sz w:val="20"/>
          <w:szCs w:val="20"/>
        </w:rPr>
        <w:t xml:space="preserve">Next, they aim to demonstrate the model can effectively preserve both the local and global structures in data. This is accomplished by revealing clusters at multiple scales which is needed for data based on several different low-dimensional manifolds. Finally, they authors provide evidence supporting the previous claims in which they show that </w:t>
      </w:r>
      <w:proofErr w:type="spellStart"/>
      <w:r w:rsidRPr="002575B7">
        <w:rPr>
          <w:rFonts w:ascii="Calibri" w:hAnsi="Calibri" w:cs="Calibri"/>
          <w:sz w:val="20"/>
          <w:szCs w:val="20"/>
        </w:rPr>
        <w:t>tSNE</w:t>
      </w:r>
      <w:proofErr w:type="spellEnd"/>
      <w:r w:rsidRPr="002575B7">
        <w:rPr>
          <w:rFonts w:ascii="Calibri" w:hAnsi="Calibri" w:cs="Calibri"/>
          <w:sz w:val="20"/>
          <w:szCs w:val="20"/>
        </w:rPr>
        <w:t xml:space="preserve"> produces better visualizations compared to other non-parametric techniques. A few comparisons that can be drawn are </w:t>
      </w:r>
      <w:proofErr w:type="spellStart"/>
      <w:r w:rsidRPr="002575B7">
        <w:rPr>
          <w:rFonts w:ascii="Calibri" w:hAnsi="Calibri" w:cs="Calibri"/>
          <w:sz w:val="20"/>
          <w:szCs w:val="20"/>
        </w:rPr>
        <w:t>Sammon</w:t>
      </w:r>
      <w:proofErr w:type="spellEnd"/>
      <w:r w:rsidRPr="002575B7">
        <w:rPr>
          <w:rFonts w:ascii="Calibri" w:hAnsi="Calibri" w:cs="Calibri"/>
          <w:sz w:val="20"/>
          <w:szCs w:val="20"/>
        </w:rPr>
        <w:t xml:space="preserve"> mapping, </w:t>
      </w:r>
      <w:proofErr w:type="spellStart"/>
      <w:r w:rsidRPr="002575B7">
        <w:rPr>
          <w:rFonts w:ascii="Calibri" w:hAnsi="Calibri" w:cs="Calibri"/>
          <w:sz w:val="20"/>
          <w:szCs w:val="20"/>
        </w:rPr>
        <w:t>Isomaps</w:t>
      </w:r>
      <w:proofErr w:type="spellEnd"/>
      <w:r w:rsidRPr="002575B7">
        <w:rPr>
          <w:rFonts w:ascii="Calibri" w:hAnsi="Calibri" w:cs="Calibri"/>
          <w:sz w:val="20"/>
          <w:szCs w:val="20"/>
        </w:rPr>
        <w:t>, and Local Linear Embeddings.</w:t>
      </w:r>
    </w:p>
    <w:p w14:paraId="476E4351" w14:textId="77777777" w:rsidR="00A61F9F" w:rsidRPr="00400FB3" w:rsidRDefault="00A61F9F" w:rsidP="00A844A8">
      <w:pPr>
        <w:ind w:left="270"/>
        <w:rPr>
          <w:rFonts w:ascii="Calibri" w:hAnsi="Calibri" w:cs="Calibri"/>
          <w:sz w:val="20"/>
          <w:szCs w:val="20"/>
        </w:rPr>
      </w:pPr>
    </w:p>
    <w:p w14:paraId="1A7DB2A9" w14:textId="29EC0824" w:rsidR="002C4B79" w:rsidRPr="002575B7" w:rsidRDefault="00400FB3" w:rsidP="00A844A8">
      <w:pPr>
        <w:numPr>
          <w:ilvl w:val="2"/>
          <w:numId w:val="1"/>
        </w:numPr>
        <w:tabs>
          <w:tab w:val="num" w:pos="1080"/>
        </w:tabs>
        <w:ind w:left="270"/>
        <w:rPr>
          <w:rFonts w:ascii="Calibri" w:hAnsi="Calibri" w:cs="Calibri"/>
          <w:b/>
          <w:bCs/>
          <w:sz w:val="20"/>
          <w:szCs w:val="20"/>
        </w:rPr>
      </w:pPr>
      <w:r w:rsidRPr="00400FB3">
        <w:rPr>
          <w:rFonts w:ascii="Calibri" w:hAnsi="Calibri" w:cs="Calibri"/>
          <w:b/>
          <w:bCs/>
          <w:sz w:val="20"/>
          <w:szCs w:val="20"/>
        </w:rPr>
        <w:t>Explain the t-SNE algorithm and how it differs from other dimensionality reduction</w:t>
      </w:r>
      <w:r w:rsidRPr="002575B7">
        <w:rPr>
          <w:rFonts w:ascii="Calibri" w:hAnsi="Calibri" w:cs="Calibri"/>
          <w:b/>
          <w:bCs/>
          <w:sz w:val="20"/>
          <w:szCs w:val="20"/>
        </w:rPr>
        <w:t xml:space="preserve"> </w:t>
      </w:r>
      <w:r w:rsidRPr="00400FB3">
        <w:rPr>
          <w:rFonts w:ascii="Calibri" w:hAnsi="Calibri" w:cs="Calibri"/>
          <w:b/>
          <w:bCs/>
          <w:sz w:val="20"/>
          <w:szCs w:val="20"/>
        </w:rPr>
        <w:t xml:space="preserve">techniques. </w:t>
      </w:r>
    </w:p>
    <w:p w14:paraId="0516E003" w14:textId="299E9FC5" w:rsidR="002C4B79" w:rsidRPr="00400FB3" w:rsidRDefault="00296313" w:rsidP="00A844A8">
      <w:pPr>
        <w:ind w:left="270"/>
        <w:jc w:val="both"/>
        <w:rPr>
          <w:rFonts w:ascii="Calibri" w:hAnsi="Calibri" w:cs="Calibri"/>
          <w:sz w:val="20"/>
          <w:szCs w:val="20"/>
        </w:rPr>
      </w:pPr>
      <w:r w:rsidRPr="002575B7">
        <w:rPr>
          <w:rFonts w:ascii="Calibri" w:hAnsi="Calibri" w:cs="Calibri"/>
          <w:sz w:val="20"/>
          <w:szCs w:val="20"/>
        </w:rPr>
        <w:t xml:space="preserve">The </w:t>
      </w:r>
      <w:proofErr w:type="spellStart"/>
      <w:r w:rsidRPr="002575B7">
        <w:rPr>
          <w:rFonts w:ascii="Calibri" w:hAnsi="Calibri" w:cs="Calibri"/>
          <w:sz w:val="20"/>
          <w:szCs w:val="20"/>
        </w:rPr>
        <w:t>tSNE</w:t>
      </w:r>
      <w:proofErr w:type="spellEnd"/>
      <w:r w:rsidRPr="002575B7">
        <w:rPr>
          <w:rFonts w:ascii="Calibri" w:hAnsi="Calibri" w:cs="Calibri"/>
          <w:sz w:val="20"/>
          <w:szCs w:val="20"/>
        </w:rPr>
        <w:t xml:space="preserve"> model is a nonlinear model for dimensionality reduction that is designed to visualize high-dimensional data by mapping it into a lower-dimensional space. The algorithm works by converting the similarities between data points in the high-dimensional space into what are known as joint probabilities. This is done using a Gaussian distribution to model these similarities. The model then places points in the low-dimensional space. This is done so that the pairwise similarities are represented by a </w:t>
      </w:r>
      <w:proofErr w:type="gramStart"/>
      <w:r w:rsidRPr="002575B7">
        <w:rPr>
          <w:rFonts w:ascii="Calibri" w:hAnsi="Calibri" w:cs="Calibri"/>
          <w:sz w:val="20"/>
          <w:szCs w:val="20"/>
        </w:rPr>
        <w:t>Student</w:t>
      </w:r>
      <w:proofErr w:type="gramEnd"/>
      <w:r w:rsidRPr="002575B7">
        <w:rPr>
          <w:rFonts w:ascii="Calibri" w:hAnsi="Calibri" w:cs="Calibri"/>
          <w:sz w:val="20"/>
          <w:szCs w:val="20"/>
        </w:rPr>
        <w:t xml:space="preserve"> t-distribution with one degree of freedom. This is generally a heavy-tailed distribution which allows t-SNE to allocate more space between dissimilar data points, effectively addressing what is known as the "crowding problem" where high-dimensional data cannot be </w:t>
      </w:r>
      <w:r w:rsidR="00A80F38" w:rsidRPr="002575B7">
        <w:rPr>
          <w:rFonts w:ascii="Calibri" w:hAnsi="Calibri" w:cs="Calibri"/>
          <w:sz w:val="20"/>
          <w:szCs w:val="20"/>
        </w:rPr>
        <w:t>appropriately</w:t>
      </w:r>
      <w:r w:rsidRPr="002575B7">
        <w:rPr>
          <w:rFonts w:ascii="Calibri" w:hAnsi="Calibri" w:cs="Calibri"/>
          <w:sz w:val="20"/>
          <w:szCs w:val="20"/>
        </w:rPr>
        <w:t xml:space="preserve"> represented in lower dimensions. One interesting aspect here, or at least I found to be interesting, is that the algorithm minimizes what is known as the </w:t>
      </w:r>
      <w:proofErr w:type="spellStart"/>
      <w:r w:rsidRPr="002575B7">
        <w:rPr>
          <w:rFonts w:ascii="Calibri" w:hAnsi="Calibri" w:cs="Calibri"/>
          <w:sz w:val="20"/>
          <w:szCs w:val="20"/>
        </w:rPr>
        <w:t>Kullback-Leibler</w:t>
      </w:r>
      <w:proofErr w:type="spellEnd"/>
      <w:r w:rsidRPr="002575B7">
        <w:rPr>
          <w:rFonts w:ascii="Calibri" w:hAnsi="Calibri" w:cs="Calibri"/>
          <w:sz w:val="20"/>
          <w:szCs w:val="20"/>
        </w:rPr>
        <w:t xml:space="preserve"> divergence between the high-dimensional and low-dimensional joint probability distributions using gradient descent. This results in a map that preserves local structures while revealing meaningful global patterns.</w:t>
      </w:r>
      <w:r w:rsidR="00A60F56">
        <w:rPr>
          <w:rFonts w:ascii="Calibri" w:hAnsi="Calibri" w:cs="Calibri"/>
          <w:sz w:val="20"/>
          <w:szCs w:val="20"/>
        </w:rPr>
        <w:t xml:space="preserve"> </w:t>
      </w:r>
      <w:r w:rsidRPr="002575B7">
        <w:rPr>
          <w:rFonts w:ascii="Calibri" w:hAnsi="Calibri" w:cs="Calibri"/>
          <w:sz w:val="20"/>
          <w:szCs w:val="20"/>
        </w:rPr>
        <w:t xml:space="preserve">This model differs from other dimensionality reduction techniques like Principal Component Analysis (PCA) and </w:t>
      </w:r>
      <w:proofErr w:type="spellStart"/>
      <w:r w:rsidRPr="002575B7">
        <w:rPr>
          <w:rFonts w:ascii="Calibri" w:hAnsi="Calibri" w:cs="Calibri"/>
          <w:sz w:val="20"/>
          <w:szCs w:val="20"/>
        </w:rPr>
        <w:t>Isomap</w:t>
      </w:r>
      <w:proofErr w:type="spellEnd"/>
      <w:r w:rsidRPr="002575B7">
        <w:rPr>
          <w:rFonts w:ascii="Calibri" w:hAnsi="Calibri" w:cs="Calibri"/>
          <w:sz w:val="20"/>
          <w:szCs w:val="20"/>
        </w:rPr>
        <w:t xml:space="preserve"> in several </w:t>
      </w:r>
      <w:proofErr w:type="gramStart"/>
      <w:r w:rsidRPr="002575B7">
        <w:rPr>
          <w:rFonts w:ascii="Calibri" w:hAnsi="Calibri" w:cs="Calibri"/>
          <w:sz w:val="20"/>
          <w:szCs w:val="20"/>
        </w:rPr>
        <w:t>key ways</w:t>
      </w:r>
      <w:proofErr w:type="gramEnd"/>
      <w:r w:rsidRPr="002575B7">
        <w:rPr>
          <w:rFonts w:ascii="Calibri" w:hAnsi="Calibri" w:cs="Calibri"/>
          <w:sz w:val="20"/>
          <w:szCs w:val="20"/>
        </w:rPr>
        <w:t xml:space="preserve">. While PCA is a linear method that focuses on maximizing variance and may miss nonlinear relationships, </w:t>
      </w:r>
      <w:proofErr w:type="spellStart"/>
      <w:r w:rsidRPr="002575B7">
        <w:rPr>
          <w:rFonts w:ascii="Calibri" w:hAnsi="Calibri" w:cs="Calibri"/>
          <w:sz w:val="20"/>
          <w:szCs w:val="20"/>
        </w:rPr>
        <w:t>tSNE</w:t>
      </w:r>
      <w:proofErr w:type="spellEnd"/>
      <w:r w:rsidRPr="002575B7">
        <w:rPr>
          <w:rFonts w:ascii="Calibri" w:hAnsi="Calibri" w:cs="Calibri"/>
          <w:sz w:val="20"/>
          <w:szCs w:val="20"/>
        </w:rPr>
        <w:t xml:space="preserve"> </w:t>
      </w:r>
      <w:r w:rsidR="00F91DC0" w:rsidRPr="002575B7">
        <w:rPr>
          <w:rFonts w:ascii="Calibri" w:hAnsi="Calibri" w:cs="Calibri"/>
          <w:sz w:val="20"/>
          <w:szCs w:val="20"/>
        </w:rPr>
        <w:t xml:space="preserve">model </w:t>
      </w:r>
      <w:r w:rsidRPr="002575B7">
        <w:rPr>
          <w:rFonts w:ascii="Calibri" w:hAnsi="Calibri" w:cs="Calibri"/>
          <w:sz w:val="20"/>
          <w:szCs w:val="20"/>
        </w:rPr>
        <w:t xml:space="preserve">captures complex nonlinear structures by preserving the probability distributions of local neighborhoods. Unlike </w:t>
      </w:r>
      <w:r w:rsidR="00F91DC0" w:rsidRPr="002575B7">
        <w:rPr>
          <w:rFonts w:ascii="Calibri" w:hAnsi="Calibri" w:cs="Calibri"/>
          <w:sz w:val="20"/>
          <w:szCs w:val="20"/>
        </w:rPr>
        <w:t xml:space="preserve">other models like the </w:t>
      </w:r>
      <w:proofErr w:type="spellStart"/>
      <w:r w:rsidRPr="002575B7">
        <w:rPr>
          <w:rFonts w:ascii="Calibri" w:hAnsi="Calibri" w:cs="Calibri"/>
          <w:sz w:val="20"/>
          <w:szCs w:val="20"/>
        </w:rPr>
        <w:t>Isomap</w:t>
      </w:r>
      <w:proofErr w:type="spellEnd"/>
      <w:r w:rsidRPr="002575B7">
        <w:rPr>
          <w:rFonts w:ascii="Calibri" w:hAnsi="Calibri" w:cs="Calibri"/>
          <w:sz w:val="20"/>
          <w:szCs w:val="20"/>
        </w:rPr>
        <w:t xml:space="preserve"> and Locally Linear Embedding</w:t>
      </w:r>
      <w:r w:rsidR="00F91DC0" w:rsidRPr="002575B7">
        <w:rPr>
          <w:rFonts w:ascii="Calibri" w:hAnsi="Calibri" w:cs="Calibri"/>
          <w:sz w:val="20"/>
          <w:szCs w:val="20"/>
        </w:rPr>
        <w:t>, also known as LLE</w:t>
      </w:r>
      <w:r w:rsidRPr="002575B7">
        <w:rPr>
          <w:rFonts w:ascii="Calibri" w:hAnsi="Calibri" w:cs="Calibri"/>
          <w:sz w:val="20"/>
          <w:szCs w:val="20"/>
        </w:rPr>
        <w:t>, which can struggle</w:t>
      </w:r>
      <w:r w:rsidR="00F91DC0" w:rsidRPr="002575B7">
        <w:rPr>
          <w:rFonts w:ascii="Calibri" w:hAnsi="Calibri" w:cs="Calibri"/>
          <w:sz w:val="20"/>
          <w:szCs w:val="20"/>
        </w:rPr>
        <w:t xml:space="preserve"> and face difficulty</w:t>
      </w:r>
      <w:r w:rsidRPr="002575B7">
        <w:rPr>
          <w:rFonts w:ascii="Calibri" w:hAnsi="Calibri" w:cs="Calibri"/>
          <w:sz w:val="20"/>
          <w:szCs w:val="20"/>
        </w:rPr>
        <w:t xml:space="preserve"> with data lying on multiple manifolds or suffer from "short-circuiting"</w:t>
      </w:r>
      <w:r w:rsidR="00F91DC0" w:rsidRPr="002575B7">
        <w:rPr>
          <w:rFonts w:ascii="Calibri" w:hAnsi="Calibri" w:cs="Calibri"/>
          <w:sz w:val="20"/>
          <w:szCs w:val="20"/>
        </w:rPr>
        <w:t xml:space="preserve">, the </w:t>
      </w:r>
      <w:proofErr w:type="spellStart"/>
      <w:r w:rsidRPr="002575B7">
        <w:rPr>
          <w:rFonts w:ascii="Calibri" w:hAnsi="Calibri" w:cs="Calibri"/>
          <w:sz w:val="20"/>
          <w:szCs w:val="20"/>
        </w:rPr>
        <w:t>tSNE</w:t>
      </w:r>
      <w:proofErr w:type="spellEnd"/>
      <w:r w:rsidR="00F91DC0" w:rsidRPr="002575B7">
        <w:rPr>
          <w:rFonts w:ascii="Calibri" w:hAnsi="Calibri" w:cs="Calibri"/>
          <w:sz w:val="20"/>
          <w:szCs w:val="20"/>
        </w:rPr>
        <w:t xml:space="preserve"> model</w:t>
      </w:r>
      <w:r w:rsidRPr="002575B7">
        <w:rPr>
          <w:rFonts w:ascii="Calibri" w:hAnsi="Calibri" w:cs="Calibri"/>
          <w:sz w:val="20"/>
          <w:szCs w:val="20"/>
        </w:rPr>
        <w:t xml:space="preserve"> use</w:t>
      </w:r>
      <w:r w:rsidR="00F91DC0" w:rsidRPr="002575B7">
        <w:rPr>
          <w:rFonts w:ascii="Calibri" w:hAnsi="Calibri" w:cs="Calibri"/>
          <w:sz w:val="20"/>
          <w:szCs w:val="20"/>
        </w:rPr>
        <w:t>s</w:t>
      </w:r>
      <w:r w:rsidRPr="002575B7">
        <w:rPr>
          <w:rFonts w:ascii="Calibri" w:hAnsi="Calibri" w:cs="Calibri"/>
          <w:sz w:val="20"/>
          <w:szCs w:val="20"/>
        </w:rPr>
        <w:t xml:space="preserve"> t-distribution </w:t>
      </w:r>
      <w:r w:rsidR="00F91DC0" w:rsidRPr="002575B7">
        <w:rPr>
          <w:rFonts w:ascii="Calibri" w:hAnsi="Calibri" w:cs="Calibri"/>
          <w:sz w:val="20"/>
          <w:szCs w:val="20"/>
        </w:rPr>
        <w:t xml:space="preserve">which </w:t>
      </w:r>
      <w:r w:rsidRPr="002575B7">
        <w:rPr>
          <w:rFonts w:ascii="Calibri" w:hAnsi="Calibri" w:cs="Calibri"/>
          <w:sz w:val="20"/>
          <w:szCs w:val="20"/>
        </w:rPr>
        <w:t xml:space="preserve">allows it to balance the preservation of local and global structures </w:t>
      </w:r>
      <w:r w:rsidR="00F91DC0" w:rsidRPr="002575B7">
        <w:rPr>
          <w:rFonts w:ascii="Calibri" w:hAnsi="Calibri" w:cs="Calibri"/>
          <w:sz w:val="20"/>
          <w:szCs w:val="20"/>
        </w:rPr>
        <w:t xml:space="preserve">quite </w:t>
      </w:r>
      <w:r w:rsidRPr="002575B7">
        <w:rPr>
          <w:rFonts w:ascii="Calibri" w:hAnsi="Calibri" w:cs="Calibri"/>
          <w:sz w:val="20"/>
          <w:szCs w:val="20"/>
        </w:rPr>
        <w:t xml:space="preserve">effectively. This results in clearer separation of clusters and the ability to reveal patterns at multiple scales, making </w:t>
      </w:r>
      <w:proofErr w:type="spellStart"/>
      <w:r w:rsidRPr="002575B7">
        <w:rPr>
          <w:rFonts w:ascii="Calibri" w:hAnsi="Calibri" w:cs="Calibri"/>
          <w:sz w:val="20"/>
          <w:szCs w:val="20"/>
        </w:rPr>
        <w:t>tSNE</w:t>
      </w:r>
      <w:proofErr w:type="spellEnd"/>
      <w:r w:rsidRPr="002575B7">
        <w:rPr>
          <w:rFonts w:ascii="Calibri" w:hAnsi="Calibri" w:cs="Calibri"/>
          <w:sz w:val="20"/>
          <w:szCs w:val="20"/>
        </w:rPr>
        <w:t xml:space="preserve"> particularly powerful for visualizing datasets like handwritten digits, gene expression profiles, or word embeddings where the data's intrinsic geometry is complex.</w:t>
      </w:r>
    </w:p>
    <w:p w14:paraId="5E533925" w14:textId="77777777" w:rsidR="0031175E" w:rsidRPr="002575B7" w:rsidRDefault="0031175E" w:rsidP="00A844A8">
      <w:pPr>
        <w:ind w:left="270"/>
        <w:rPr>
          <w:rFonts w:ascii="Calibri" w:hAnsi="Calibri" w:cs="Calibri"/>
          <w:sz w:val="20"/>
          <w:szCs w:val="20"/>
        </w:rPr>
      </w:pPr>
    </w:p>
    <w:p w14:paraId="6360F8B3" w14:textId="39932DDD" w:rsidR="00400FB3" w:rsidRPr="00A844A8" w:rsidRDefault="00400FB3" w:rsidP="00A844A8">
      <w:pPr>
        <w:numPr>
          <w:ilvl w:val="1"/>
          <w:numId w:val="1"/>
        </w:numPr>
        <w:tabs>
          <w:tab w:val="clear" w:pos="1440"/>
          <w:tab w:val="num" w:pos="360"/>
        </w:tabs>
        <w:ind w:left="270"/>
        <w:rPr>
          <w:rFonts w:ascii="Calibri" w:hAnsi="Calibri" w:cs="Calibri"/>
          <w:sz w:val="22"/>
          <w:szCs w:val="22"/>
        </w:rPr>
      </w:pPr>
      <w:r w:rsidRPr="00400FB3">
        <w:rPr>
          <w:rFonts w:ascii="Calibri" w:hAnsi="Calibri" w:cs="Calibri"/>
          <w:b/>
          <w:bCs/>
          <w:sz w:val="22"/>
          <w:szCs w:val="22"/>
        </w:rPr>
        <w:t xml:space="preserve">Critical Analysis: </w:t>
      </w:r>
    </w:p>
    <w:p w14:paraId="1F0575D1" w14:textId="78ABCA6B" w:rsidR="00F91DC0" w:rsidRPr="00A60F56" w:rsidRDefault="00550BBE" w:rsidP="00A844A8">
      <w:pPr>
        <w:numPr>
          <w:ilvl w:val="2"/>
          <w:numId w:val="1"/>
        </w:numPr>
        <w:tabs>
          <w:tab w:val="num" w:pos="1080"/>
        </w:tabs>
        <w:ind w:left="270"/>
        <w:rPr>
          <w:rFonts w:ascii="Calibri" w:hAnsi="Calibri" w:cs="Calibri"/>
          <w:b/>
          <w:bCs/>
          <w:sz w:val="20"/>
          <w:szCs w:val="20"/>
        </w:rPr>
      </w:pPr>
      <w:r w:rsidRPr="002575B7">
        <w:rPr>
          <w:rFonts w:ascii="Calibri" w:hAnsi="Calibri" w:cs="Calibri"/>
          <w:b/>
          <w:bCs/>
          <w:sz w:val="20"/>
          <w:szCs w:val="20"/>
        </w:rPr>
        <w:t>Discuss</w:t>
      </w:r>
      <w:r w:rsidRPr="00400FB3">
        <w:rPr>
          <w:rFonts w:ascii="Calibri" w:hAnsi="Calibri" w:cs="Calibri"/>
          <w:b/>
          <w:bCs/>
          <w:sz w:val="20"/>
          <w:szCs w:val="20"/>
        </w:rPr>
        <w:t xml:space="preserve"> the advantages and limitations of t-SNE as presented in the paper.</w:t>
      </w:r>
    </w:p>
    <w:p w14:paraId="12FA92DB" w14:textId="382C3DC8" w:rsidR="00550BBE" w:rsidRPr="002575B7" w:rsidRDefault="00F5400D" w:rsidP="00A844A8">
      <w:pPr>
        <w:ind w:left="270"/>
        <w:jc w:val="both"/>
        <w:rPr>
          <w:rFonts w:ascii="Calibri" w:hAnsi="Calibri" w:cs="Calibri"/>
          <w:sz w:val="20"/>
          <w:szCs w:val="20"/>
        </w:rPr>
      </w:pPr>
      <w:r w:rsidRPr="002575B7">
        <w:rPr>
          <w:rFonts w:ascii="Calibri" w:hAnsi="Calibri" w:cs="Calibri"/>
          <w:sz w:val="20"/>
          <w:szCs w:val="20"/>
        </w:rPr>
        <w:t xml:space="preserve">The </w:t>
      </w:r>
      <w:proofErr w:type="spellStart"/>
      <w:r w:rsidRPr="002575B7">
        <w:rPr>
          <w:rFonts w:ascii="Calibri" w:hAnsi="Calibri" w:cs="Calibri"/>
          <w:sz w:val="20"/>
          <w:szCs w:val="20"/>
        </w:rPr>
        <w:t>tSNE</w:t>
      </w:r>
      <w:proofErr w:type="spellEnd"/>
      <w:r w:rsidRPr="002575B7">
        <w:rPr>
          <w:rFonts w:ascii="Calibri" w:hAnsi="Calibri" w:cs="Calibri"/>
          <w:sz w:val="20"/>
          <w:szCs w:val="20"/>
        </w:rPr>
        <w:t xml:space="preserve"> model is represented in this paper by notable advantages by producing high-quality visualizations that preserve local data structures and reveal meaningful global patterns, such as clusters, which are often hidden in high-dimensional data. We can clearly see this in the </w:t>
      </w:r>
      <w:r w:rsidR="00A728C7" w:rsidRPr="002575B7">
        <w:rPr>
          <w:rFonts w:ascii="Calibri" w:hAnsi="Calibri" w:cs="Calibri"/>
          <w:sz w:val="20"/>
          <w:szCs w:val="20"/>
        </w:rPr>
        <w:t xml:space="preserve">code in the other portion of this assignment where the data was nicely visualized using this model. </w:t>
      </w:r>
      <w:r w:rsidRPr="002575B7">
        <w:rPr>
          <w:rFonts w:ascii="Calibri" w:hAnsi="Calibri" w:cs="Calibri"/>
          <w:sz w:val="20"/>
          <w:szCs w:val="20"/>
        </w:rPr>
        <w:t xml:space="preserve">By utilizing a </w:t>
      </w:r>
      <w:proofErr w:type="gramStart"/>
      <w:r w:rsidRPr="002575B7">
        <w:rPr>
          <w:rFonts w:ascii="Calibri" w:hAnsi="Calibri" w:cs="Calibri"/>
          <w:sz w:val="20"/>
          <w:szCs w:val="20"/>
        </w:rPr>
        <w:t>Student</w:t>
      </w:r>
      <w:proofErr w:type="gramEnd"/>
      <w:r w:rsidRPr="002575B7">
        <w:rPr>
          <w:rFonts w:ascii="Calibri" w:hAnsi="Calibri" w:cs="Calibri"/>
          <w:sz w:val="20"/>
          <w:szCs w:val="20"/>
        </w:rPr>
        <w:t xml:space="preserve"> t-distribution with one degree of freedom in the low-dimensional space, t</w:t>
      </w:r>
      <w:r w:rsidR="00A728C7" w:rsidRPr="002575B7">
        <w:rPr>
          <w:rFonts w:ascii="Calibri" w:hAnsi="Calibri" w:cs="Calibri"/>
          <w:sz w:val="20"/>
          <w:szCs w:val="20"/>
        </w:rPr>
        <w:t>-</w:t>
      </w:r>
      <w:r w:rsidRPr="002575B7">
        <w:rPr>
          <w:rFonts w:ascii="Calibri" w:hAnsi="Calibri" w:cs="Calibri"/>
          <w:sz w:val="20"/>
          <w:szCs w:val="20"/>
        </w:rPr>
        <w:t>SNE effectively addresses the crowding problem found in methods like SNE</w:t>
      </w:r>
      <w:r w:rsidR="00A728C7" w:rsidRPr="002575B7">
        <w:rPr>
          <w:rFonts w:ascii="Calibri" w:hAnsi="Calibri" w:cs="Calibri"/>
          <w:sz w:val="20"/>
          <w:szCs w:val="20"/>
        </w:rPr>
        <w:t xml:space="preserve">. It does so by </w:t>
      </w:r>
      <w:r w:rsidRPr="002575B7">
        <w:rPr>
          <w:rFonts w:ascii="Calibri" w:hAnsi="Calibri" w:cs="Calibri"/>
          <w:sz w:val="20"/>
          <w:szCs w:val="20"/>
        </w:rPr>
        <w:t xml:space="preserve">allowing for better separation of dissimilar data points and clearer cluster formation. Its symmetric formulation and simplified gradient computation enhance optimization efficiency and reduce susceptibility to poor local </w:t>
      </w:r>
      <w:r w:rsidRPr="002575B7">
        <w:rPr>
          <w:rFonts w:ascii="Calibri" w:hAnsi="Calibri" w:cs="Calibri"/>
          <w:sz w:val="20"/>
          <w:szCs w:val="20"/>
        </w:rPr>
        <w:lastRenderedPageBreak/>
        <w:t xml:space="preserve">minima. </w:t>
      </w:r>
      <w:r w:rsidR="00A728C7" w:rsidRPr="002575B7">
        <w:rPr>
          <w:rFonts w:ascii="Calibri" w:hAnsi="Calibri" w:cs="Calibri"/>
          <w:sz w:val="20"/>
          <w:szCs w:val="20"/>
        </w:rPr>
        <w:t>That said</w:t>
      </w:r>
      <w:r w:rsidRPr="002575B7">
        <w:rPr>
          <w:rFonts w:ascii="Calibri" w:hAnsi="Calibri" w:cs="Calibri"/>
          <w:sz w:val="20"/>
          <w:szCs w:val="20"/>
        </w:rPr>
        <w:t xml:space="preserve">, </w:t>
      </w:r>
      <w:r w:rsidR="00A728C7" w:rsidRPr="002575B7">
        <w:rPr>
          <w:rFonts w:ascii="Calibri" w:hAnsi="Calibri" w:cs="Calibri"/>
          <w:sz w:val="20"/>
          <w:szCs w:val="20"/>
        </w:rPr>
        <w:t xml:space="preserve">the </w:t>
      </w:r>
      <w:r w:rsidRPr="002575B7">
        <w:rPr>
          <w:rFonts w:ascii="Calibri" w:hAnsi="Calibri" w:cs="Calibri"/>
          <w:sz w:val="20"/>
          <w:szCs w:val="20"/>
        </w:rPr>
        <w:t xml:space="preserve">t-SNE </w:t>
      </w:r>
      <w:r w:rsidR="00A728C7" w:rsidRPr="002575B7">
        <w:rPr>
          <w:rFonts w:ascii="Calibri" w:hAnsi="Calibri" w:cs="Calibri"/>
          <w:sz w:val="20"/>
          <w:szCs w:val="20"/>
        </w:rPr>
        <w:t xml:space="preserve">model </w:t>
      </w:r>
      <w:r w:rsidRPr="002575B7">
        <w:rPr>
          <w:rFonts w:ascii="Calibri" w:hAnsi="Calibri" w:cs="Calibri"/>
          <w:sz w:val="20"/>
          <w:szCs w:val="20"/>
        </w:rPr>
        <w:t xml:space="preserve">also has limitations, including a computational complexity </w:t>
      </w:r>
      <w:proofErr w:type="gramStart"/>
      <w:r w:rsidRPr="002575B7">
        <w:rPr>
          <w:rFonts w:ascii="Calibri" w:hAnsi="Calibri" w:cs="Calibri"/>
          <w:sz w:val="20"/>
          <w:szCs w:val="20"/>
        </w:rPr>
        <w:t xml:space="preserve">of </w:t>
      </w:r>
      <w:r w:rsidR="00A728C7" w:rsidRPr="002575B7">
        <w:rPr>
          <w:rFonts w:ascii="Calibri" w:hAnsi="Calibri" w:cs="Calibri"/>
          <w:sz w:val="20"/>
          <w:szCs w:val="20"/>
        </w:rPr>
        <w:t xml:space="preserve"> </w:t>
      </w:r>
      <w:r w:rsidRPr="002575B7">
        <w:rPr>
          <w:rFonts w:ascii="Calibri" w:hAnsi="Calibri" w:cs="Calibri"/>
          <w:sz w:val="20"/>
          <w:szCs w:val="20"/>
        </w:rPr>
        <w:t>O</w:t>
      </w:r>
      <w:proofErr w:type="gramEnd"/>
      <w:r w:rsidRPr="002575B7">
        <w:rPr>
          <w:rFonts w:ascii="Calibri" w:hAnsi="Calibri" w:cs="Calibri"/>
          <w:sz w:val="20"/>
          <w:szCs w:val="20"/>
        </w:rPr>
        <w:t xml:space="preserve">(n^2) that challenges its scalability to very large datasets without modifications. </w:t>
      </w:r>
      <w:r w:rsidR="00A728C7" w:rsidRPr="002575B7">
        <w:rPr>
          <w:rFonts w:ascii="Calibri" w:hAnsi="Calibri" w:cs="Calibri"/>
          <w:sz w:val="20"/>
          <w:szCs w:val="20"/>
        </w:rPr>
        <w:t xml:space="preserve">I have seen this in past in industry when trying to apply this model larger datasets. </w:t>
      </w:r>
      <w:r w:rsidRPr="002575B7">
        <w:rPr>
          <w:rFonts w:ascii="Calibri" w:hAnsi="Calibri" w:cs="Calibri"/>
          <w:sz w:val="20"/>
          <w:szCs w:val="20"/>
        </w:rPr>
        <w:t>The non-convex nature of its cost function can lead to convergence on different local minima based on initialization, resulting in variability across runs. Additionally, t-SNE's performance can be sensitive to hyperparameters like perplexity and learning rate</w:t>
      </w:r>
      <w:r w:rsidR="00A728C7" w:rsidRPr="002575B7">
        <w:rPr>
          <w:rFonts w:ascii="Calibri" w:hAnsi="Calibri" w:cs="Calibri"/>
          <w:sz w:val="20"/>
          <w:szCs w:val="20"/>
        </w:rPr>
        <w:t xml:space="preserve">. This requires </w:t>
      </w:r>
      <w:r w:rsidRPr="002575B7">
        <w:rPr>
          <w:rFonts w:ascii="Calibri" w:hAnsi="Calibri" w:cs="Calibri"/>
          <w:sz w:val="20"/>
          <w:szCs w:val="20"/>
        </w:rPr>
        <w:t>careful tuning</w:t>
      </w:r>
      <w:r w:rsidR="00A728C7" w:rsidRPr="002575B7">
        <w:rPr>
          <w:rFonts w:ascii="Calibri" w:hAnsi="Calibri" w:cs="Calibri"/>
          <w:sz w:val="20"/>
          <w:szCs w:val="20"/>
        </w:rPr>
        <w:t xml:space="preserve"> as I demonstrated in the code,</w:t>
      </w:r>
      <w:r w:rsidRPr="002575B7">
        <w:rPr>
          <w:rFonts w:ascii="Calibri" w:hAnsi="Calibri" w:cs="Calibri"/>
          <w:sz w:val="20"/>
          <w:szCs w:val="20"/>
        </w:rPr>
        <w:t xml:space="preserve"> and the global distances in the resulting map may not correspond accurately to those in the original high-dimensional space</w:t>
      </w:r>
      <w:r w:rsidR="00A728C7" w:rsidRPr="002575B7">
        <w:rPr>
          <w:rFonts w:ascii="Calibri" w:hAnsi="Calibri" w:cs="Calibri"/>
          <w:sz w:val="20"/>
          <w:szCs w:val="20"/>
        </w:rPr>
        <w:t xml:space="preserve">. This ultimately </w:t>
      </w:r>
      <w:r w:rsidRPr="002575B7">
        <w:rPr>
          <w:rFonts w:ascii="Calibri" w:hAnsi="Calibri" w:cs="Calibri"/>
          <w:sz w:val="20"/>
          <w:szCs w:val="20"/>
        </w:rPr>
        <w:t>affect</w:t>
      </w:r>
      <w:r w:rsidR="00A728C7" w:rsidRPr="002575B7">
        <w:rPr>
          <w:rFonts w:ascii="Calibri" w:hAnsi="Calibri" w:cs="Calibri"/>
          <w:sz w:val="20"/>
          <w:szCs w:val="20"/>
        </w:rPr>
        <w:t>s</w:t>
      </w:r>
      <w:r w:rsidRPr="002575B7">
        <w:rPr>
          <w:rFonts w:ascii="Calibri" w:hAnsi="Calibri" w:cs="Calibri"/>
          <w:sz w:val="20"/>
          <w:szCs w:val="20"/>
        </w:rPr>
        <w:t xml:space="preserve"> the interpretation of inter-cluster relationships.</w:t>
      </w:r>
    </w:p>
    <w:p w14:paraId="22F94E95" w14:textId="77777777" w:rsidR="00F91DC0" w:rsidRPr="002575B7" w:rsidRDefault="00F91DC0" w:rsidP="00A844A8">
      <w:pPr>
        <w:ind w:left="270"/>
        <w:rPr>
          <w:rFonts w:ascii="Calibri" w:hAnsi="Calibri" w:cs="Calibri"/>
          <w:sz w:val="20"/>
          <w:szCs w:val="20"/>
        </w:rPr>
      </w:pPr>
    </w:p>
    <w:p w14:paraId="25E67FEE" w14:textId="36E1028F" w:rsidR="008C454A" w:rsidRPr="00A60F56" w:rsidRDefault="008C454A" w:rsidP="00A844A8">
      <w:pPr>
        <w:numPr>
          <w:ilvl w:val="2"/>
          <w:numId w:val="1"/>
        </w:numPr>
        <w:tabs>
          <w:tab w:val="num" w:pos="1080"/>
        </w:tabs>
        <w:ind w:left="270"/>
        <w:rPr>
          <w:rFonts w:ascii="Calibri" w:hAnsi="Calibri" w:cs="Calibri"/>
          <w:b/>
          <w:bCs/>
          <w:sz w:val="20"/>
          <w:szCs w:val="20"/>
        </w:rPr>
      </w:pPr>
      <w:r w:rsidRPr="002575B7">
        <w:rPr>
          <w:rFonts w:ascii="Calibri" w:hAnsi="Calibri" w:cs="Calibri"/>
          <w:b/>
          <w:bCs/>
          <w:sz w:val="20"/>
          <w:szCs w:val="20"/>
        </w:rPr>
        <w:t>Relate</w:t>
      </w:r>
      <w:r w:rsidRPr="00400FB3">
        <w:rPr>
          <w:rFonts w:ascii="Calibri" w:hAnsi="Calibri" w:cs="Calibri"/>
          <w:b/>
          <w:bCs/>
          <w:sz w:val="20"/>
          <w:szCs w:val="20"/>
        </w:rPr>
        <w:t xml:space="preserve"> the concepts from the paper to the t-SNE technique used in the practical</w:t>
      </w:r>
      <w:r w:rsidRPr="002575B7">
        <w:rPr>
          <w:rFonts w:ascii="Calibri" w:hAnsi="Calibri" w:cs="Calibri"/>
          <w:b/>
          <w:bCs/>
          <w:sz w:val="20"/>
          <w:szCs w:val="20"/>
        </w:rPr>
        <w:t xml:space="preserve"> </w:t>
      </w:r>
      <w:r w:rsidRPr="00400FB3">
        <w:rPr>
          <w:rFonts w:ascii="Calibri" w:hAnsi="Calibri" w:cs="Calibri"/>
          <w:b/>
          <w:bCs/>
          <w:sz w:val="20"/>
          <w:szCs w:val="20"/>
        </w:rPr>
        <w:t>component</w:t>
      </w:r>
      <w:r w:rsidR="00A60F56">
        <w:rPr>
          <w:rFonts w:ascii="Calibri" w:hAnsi="Calibri" w:cs="Calibri"/>
          <w:b/>
          <w:bCs/>
          <w:sz w:val="20"/>
          <w:szCs w:val="20"/>
        </w:rPr>
        <w:t>:</w:t>
      </w:r>
    </w:p>
    <w:p w14:paraId="063C18D2" w14:textId="77777777" w:rsidR="009E35AE" w:rsidRPr="009E35AE" w:rsidRDefault="009E35AE" w:rsidP="00A844A8">
      <w:pPr>
        <w:ind w:left="270"/>
        <w:jc w:val="both"/>
        <w:rPr>
          <w:rFonts w:ascii="Calibri" w:hAnsi="Calibri" w:cs="Calibri"/>
          <w:sz w:val="20"/>
          <w:szCs w:val="20"/>
        </w:rPr>
      </w:pPr>
      <w:r w:rsidRPr="009E35AE">
        <w:rPr>
          <w:rFonts w:ascii="Calibri" w:hAnsi="Calibri" w:cs="Calibri"/>
          <w:sz w:val="20"/>
          <w:szCs w:val="20"/>
        </w:rPr>
        <w:t xml:space="preserve">In the practical component, we applied t-SNE, PCA, and Autoencoders to the MNIST dataset to reduce its dimensionality to 2D and visualize the handwritten digits. The concepts from the paper were directly reflected in how t-SNE was employed and how it differed from the other techniques. Specifically, t-SNE's focus on preserving local neighborhoods by converting high-dimensional similarities into joint probabilities using a Gaussian kernel, and then mapping these to a low-dimensional space using a </w:t>
      </w:r>
      <w:proofErr w:type="gramStart"/>
      <w:r w:rsidRPr="009E35AE">
        <w:rPr>
          <w:rFonts w:ascii="Calibri" w:hAnsi="Calibri" w:cs="Calibri"/>
          <w:sz w:val="20"/>
          <w:szCs w:val="20"/>
        </w:rPr>
        <w:t>Student</w:t>
      </w:r>
      <w:proofErr w:type="gramEnd"/>
      <w:r w:rsidRPr="009E35AE">
        <w:rPr>
          <w:rFonts w:ascii="Calibri" w:hAnsi="Calibri" w:cs="Calibri"/>
          <w:sz w:val="20"/>
          <w:szCs w:val="20"/>
        </w:rPr>
        <w:t xml:space="preserve"> t-distribution, resulted in clear separation of digit clusters in the 2D visualization. This aligns with the paper's discussion on t-SNE's ability to handle the "crowding problem" and preserve both local and global data structures. In contrast, PCA, being a linear method, captured the largest variance but failed to separate the digits effectively due to its inability to model nonlinear relationships, leading to overlapping clusters. Autoencoders, while capable of learning nonlinear embeddings, did not specifically optimize for preserving the probability distributions of local neighborhoods, and thus their 2D representations were not as distinctly clustered as those produced by t-SNE. The practical use of t-SNE on the MNIST dataset showcased the algorithm's strengths highlighted in the paper, such as its simplified gradient optimization and effective handling of high-dimensional data manifolds, resulting in superior visualization of the handwritten digits compared to PCA and Autoencoders.</w:t>
      </w:r>
    </w:p>
    <w:p w14:paraId="63946E71" w14:textId="77777777" w:rsidR="00F91DC0" w:rsidRPr="00400FB3" w:rsidRDefault="00F91DC0" w:rsidP="00A844A8">
      <w:pPr>
        <w:ind w:left="270"/>
        <w:rPr>
          <w:rFonts w:ascii="Calibri" w:hAnsi="Calibri" w:cs="Calibri"/>
          <w:sz w:val="20"/>
          <w:szCs w:val="20"/>
        </w:rPr>
      </w:pPr>
    </w:p>
    <w:p w14:paraId="1008DD93" w14:textId="701444A5" w:rsidR="0031175E" w:rsidRPr="00A844A8" w:rsidRDefault="00400FB3" w:rsidP="00A844A8">
      <w:pPr>
        <w:numPr>
          <w:ilvl w:val="1"/>
          <w:numId w:val="1"/>
        </w:numPr>
        <w:tabs>
          <w:tab w:val="clear" w:pos="1440"/>
          <w:tab w:val="num" w:pos="360"/>
        </w:tabs>
        <w:ind w:left="270"/>
        <w:rPr>
          <w:rFonts w:ascii="Calibri" w:hAnsi="Calibri" w:cs="Calibri"/>
          <w:sz w:val="22"/>
          <w:szCs w:val="22"/>
        </w:rPr>
      </w:pPr>
      <w:r w:rsidRPr="00400FB3">
        <w:rPr>
          <w:rFonts w:ascii="Calibri" w:hAnsi="Calibri" w:cs="Calibri"/>
          <w:b/>
          <w:bCs/>
          <w:sz w:val="22"/>
          <w:szCs w:val="22"/>
        </w:rPr>
        <w:t xml:space="preserve">Applications: </w:t>
      </w:r>
    </w:p>
    <w:p w14:paraId="0226AA52" w14:textId="741ECBEA" w:rsidR="0031175E" w:rsidRPr="005F1F55" w:rsidRDefault="0031175E" w:rsidP="005F1F55">
      <w:pPr>
        <w:numPr>
          <w:ilvl w:val="2"/>
          <w:numId w:val="1"/>
        </w:numPr>
        <w:tabs>
          <w:tab w:val="num" w:pos="1080"/>
        </w:tabs>
        <w:ind w:left="270"/>
        <w:rPr>
          <w:rFonts w:ascii="Calibri" w:hAnsi="Calibri" w:cs="Calibri"/>
          <w:b/>
          <w:bCs/>
          <w:sz w:val="20"/>
          <w:szCs w:val="20"/>
        </w:rPr>
      </w:pPr>
      <w:r w:rsidRPr="002575B7">
        <w:rPr>
          <w:rFonts w:ascii="Calibri" w:hAnsi="Calibri" w:cs="Calibri"/>
          <w:b/>
          <w:bCs/>
          <w:sz w:val="20"/>
          <w:szCs w:val="20"/>
        </w:rPr>
        <w:t>Highlight</w:t>
      </w:r>
      <w:r w:rsidRPr="00400FB3">
        <w:rPr>
          <w:rFonts w:ascii="Calibri" w:hAnsi="Calibri" w:cs="Calibri"/>
          <w:b/>
          <w:bCs/>
          <w:sz w:val="20"/>
          <w:szCs w:val="20"/>
        </w:rPr>
        <w:t xml:space="preserve"> potential applications of t-SNE beyond the scope of the assignment</w:t>
      </w:r>
      <w:r w:rsidR="00A60F56">
        <w:rPr>
          <w:rFonts w:ascii="Calibri" w:hAnsi="Calibri" w:cs="Calibri"/>
          <w:b/>
          <w:bCs/>
          <w:sz w:val="20"/>
          <w:szCs w:val="20"/>
        </w:rPr>
        <w:t>:</w:t>
      </w:r>
      <w:r w:rsidR="005F1F55">
        <w:rPr>
          <w:rFonts w:ascii="Calibri" w:hAnsi="Calibri" w:cs="Calibri"/>
          <w:b/>
          <w:bCs/>
          <w:sz w:val="20"/>
          <w:szCs w:val="20"/>
        </w:rPr>
        <w:br/>
      </w:r>
      <w:r w:rsidR="00926FC1" w:rsidRPr="005F1F55">
        <w:rPr>
          <w:rFonts w:ascii="Calibri" w:hAnsi="Calibri" w:cs="Calibri"/>
          <w:sz w:val="20"/>
          <w:szCs w:val="20"/>
        </w:rPr>
        <w:t xml:space="preserve">The </w:t>
      </w:r>
      <w:proofErr w:type="spellStart"/>
      <w:r w:rsidR="00926FC1" w:rsidRPr="005F1F55">
        <w:rPr>
          <w:rFonts w:ascii="Calibri" w:hAnsi="Calibri" w:cs="Calibri"/>
          <w:sz w:val="20"/>
          <w:szCs w:val="20"/>
        </w:rPr>
        <w:t>tSNE</w:t>
      </w:r>
      <w:proofErr w:type="spellEnd"/>
      <w:r w:rsidR="00926FC1" w:rsidRPr="005F1F55">
        <w:rPr>
          <w:rFonts w:ascii="Calibri" w:hAnsi="Calibri" w:cs="Calibri"/>
          <w:sz w:val="20"/>
          <w:szCs w:val="20"/>
        </w:rPr>
        <w:t xml:space="preserve"> model</w:t>
      </w:r>
      <w:r w:rsidR="002575B7" w:rsidRPr="005F1F55">
        <w:rPr>
          <w:rFonts w:ascii="Calibri" w:hAnsi="Calibri" w:cs="Calibri"/>
          <w:sz w:val="20"/>
          <w:szCs w:val="20"/>
        </w:rPr>
        <w:t xml:space="preserve"> has extensive applications in biotechnology and pharmaceuticals, particularly for visualizing and analyzing high-dimensional biological data. </w:t>
      </w:r>
      <w:r w:rsidR="00926FC1" w:rsidRPr="005F1F55">
        <w:rPr>
          <w:rFonts w:ascii="Calibri" w:hAnsi="Calibri" w:cs="Calibri"/>
          <w:sz w:val="20"/>
          <w:szCs w:val="20"/>
        </w:rPr>
        <w:t>Going beyond the scope of our application of this model with the MNIST data, it can be used</w:t>
      </w:r>
      <w:r w:rsidR="002575B7" w:rsidRPr="005F1F55">
        <w:rPr>
          <w:rFonts w:ascii="Calibri" w:hAnsi="Calibri" w:cs="Calibri"/>
          <w:sz w:val="20"/>
          <w:szCs w:val="20"/>
        </w:rPr>
        <w:t xml:space="preserve"> in single-cell RNA sequencing to identify cell types, states, and developmental trajectories</w:t>
      </w:r>
      <w:r w:rsidR="00926FC1" w:rsidRPr="005F1F55">
        <w:rPr>
          <w:rFonts w:ascii="Calibri" w:hAnsi="Calibri" w:cs="Calibri"/>
          <w:sz w:val="20"/>
          <w:szCs w:val="20"/>
        </w:rPr>
        <w:t xml:space="preserve"> by </w:t>
      </w:r>
      <w:r w:rsidR="002575B7" w:rsidRPr="005F1F55">
        <w:rPr>
          <w:rFonts w:ascii="Calibri" w:hAnsi="Calibri" w:cs="Calibri"/>
          <w:sz w:val="20"/>
          <w:szCs w:val="20"/>
        </w:rPr>
        <w:t xml:space="preserve">providing insights into tissue heterogeneity and disease mechanisms. In </w:t>
      </w:r>
      <w:r w:rsidR="00A60F56" w:rsidRPr="005F1F55">
        <w:rPr>
          <w:rFonts w:ascii="Calibri" w:hAnsi="Calibri" w:cs="Calibri"/>
          <w:sz w:val="20"/>
          <w:szCs w:val="20"/>
        </w:rPr>
        <w:t xml:space="preserve">the field of </w:t>
      </w:r>
      <w:r w:rsidR="002575B7" w:rsidRPr="005F1F55">
        <w:rPr>
          <w:rFonts w:ascii="Calibri" w:hAnsi="Calibri" w:cs="Calibri"/>
          <w:sz w:val="20"/>
          <w:szCs w:val="20"/>
        </w:rPr>
        <w:t>drug discovery</w:t>
      </w:r>
      <w:r w:rsidR="00A60F56" w:rsidRPr="005F1F55">
        <w:rPr>
          <w:rFonts w:ascii="Calibri" w:hAnsi="Calibri" w:cs="Calibri"/>
          <w:sz w:val="20"/>
          <w:szCs w:val="20"/>
        </w:rPr>
        <w:t xml:space="preserve"> </w:t>
      </w:r>
      <w:proofErr w:type="spellStart"/>
      <w:r w:rsidR="002575B7" w:rsidRPr="005F1F55">
        <w:rPr>
          <w:rFonts w:ascii="Calibri" w:hAnsi="Calibri" w:cs="Calibri"/>
          <w:sz w:val="20"/>
          <w:szCs w:val="20"/>
        </w:rPr>
        <w:t>tSNE</w:t>
      </w:r>
      <w:proofErr w:type="spellEnd"/>
      <w:r w:rsidR="002575B7" w:rsidRPr="005F1F55">
        <w:rPr>
          <w:rFonts w:ascii="Calibri" w:hAnsi="Calibri" w:cs="Calibri"/>
          <w:sz w:val="20"/>
          <w:szCs w:val="20"/>
        </w:rPr>
        <w:t xml:space="preserve"> facilitates chemical space mapping, </w:t>
      </w:r>
      <w:r w:rsidR="00A60F56" w:rsidRPr="005F1F55">
        <w:rPr>
          <w:rFonts w:ascii="Calibri" w:hAnsi="Calibri" w:cs="Calibri"/>
          <w:sz w:val="20"/>
          <w:szCs w:val="20"/>
        </w:rPr>
        <w:t>helping</w:t>
      </w:r>
      <w:r w:rsidR="002575B7" w:rsidRPr="005F1F55">
        <w:rPr>
          <w:rFonts w:ascii="Calibri" w:hAnsi="Calibri" w:cs="Calibri"/>
          <w:sz w:val="20"/>
          <w:szCs w:val="20"/>
        </w:rPr>
        <w:t xml:space="preserve"> researchers to identify novel compound scaffolds, predict </w:t>
      </w:r>
      <w:r w:rsidR="00A60F56" w:rsidRPr="005F1F55">
        <w:rPr>
          <w:rFonts w:ascii="Calibri" w:hAnsi="Calibri" w:cs="Calibri"/>
          <w:sz w:val="20"/>
          <w:szCs w:val="20"/>
        </w:rPr>
        <w:t xml:space="preserve">molecular </w:t>
      </w:r>
      <w:r w:rsidR="002575B7" w:rsidRPr="005F1F55">
        <w:rPr>
          <w:rFonts w:ascii="Calibri" w:hAnsi="Calibri" w:cs="Calibri"/>
          <w:sz w:val="20"/>
          <w:szCs w:val="20"/>
        </w:rPr>
        <w:t xml:space="preserve">side effects, and analyze high-throughput screening data. </w:t>
      </w:r>
      <w:r w:rsidR="00A60F56" w:rsidRPr="005F1F55">
        <w:rPr>
          <w:rFonts w:ascii="Calibri" w:hAnsi="Calibri" w:cs="Calibri"/>
          <w:sz w:val="20"/>
          <w:szCs w:val="20"/>
        </w:rPr>
        <w:t>Interestingly, p</w:t>
      </w:r>
      <w:r w:rsidR="002575B7" w:rsidRPr="005F1F55">
        <w:rPr>
          <w:rFonts w:ascii="Calibri" w:hAnsi="Calibri" w:cs="Calibri"/>
          <w:sz w:val="20"/>
          <w:szCs w:val="20"/>
        </w:rPr>
        <w:t>ersonalized medicine benefits from t-SNE’s ability to stratify patients by clustering clinical and multi-omics data</w:t>
      </w:r>
      <w:r w:rsidR="00A60F56" w:rsidRPr="005F1F55">
        <w:rPr>
          <w:rFonts w:ascii="Calibri" w:hAnsi="Calibri" w:cs="Calibri"/>
          <w:sz w:val="20"/>
          <w:szCs w:val="20"/>
        </w:rPr>
        <w:t xml:space="preserve"> that can lead to</w:t>
      </w:r>
      <w:r w:rsidR="002575B7" w:rsidRPr="005F1F55">
        <w:rPr>
          <w:rFonts w:ascii="Calibri" w:hAnsi="Calibri" w:cs="Calibri"/>
          <w:sz w:val="20"/>
          <w:szCs w:val="20"/>
        </w:rPr>
        <w:t xml:space="preserve"> tailored treatment strategies. </w:t>
      </w:r>
      <w:r w:rsidR="00A60F56" w:rsidRPr="005F1F55">
        <w:rPr>
          <w:rFonts w:ascii="Calibri" w:hAnsi="Calibri" w:cs="Calibri"/>
          <w:sz w:val="20"/>
          <w:szCs w:val="20"/>
        </w:rPr>
        <w:t>Aside from pharmaceuticals</w:t>
      </w:r>
      <w:r w:rsidR="002575B7" w:rsidRPr="005F1F55">
        <w:rPr>
          <w:rFonts w:ascii="Calibri" w:hAnsi="Calibri" w:cs="Calibri"/>
          <w:sz w:val="20"/>
          <w:szCs w:val="20"/>
        </w:rPr>
        <w:t>, t</w:t>
      </w:r>
      <w:r w:rsidR="00A60F56" w:rsidRPr="005F1F55">
        <w:rPr>
          <w:rFonts w:ascii="Calibri" w:hAnsi="Calibri" w:cs="Calibri"/>
          <w:sz w:val="20"/>
          <w:szCs w:val="20"/>
        </w:rPr>
        <w:t>S</w:t>
      </w:r>
      <w:r w:rsidR="002575B7" w:rsidRPr="005F1F55">
        <w:rPr>
          <w:rFonts w:ascii="Calibri" w:hAnsi="Calibri" w:cs="Calibri"/>
          <w:sz w:val="20"/>
          <w:szCs w:val="20"/>
        </w:rPr>
        <w:t xml:space="preserve">NE is essential in other industries: </w:t>
      </w:r>
      <w:r w:rsidR="00A60F56" w:rsidRPr="005F1F55">
        <w:rPr>
          <w:rFonts w:ascii="Calibri" w:hAnsi="Calibri" w:cs="Calibri"/>
          <w:sz w:val="20"/>
          <w:szCs w:val="20"/>
        </w:rPr>
        <w:t xml:space="preserve">for </w:t>
      </w:r>
      <w:proofErr w:type="gramStart"/>
      <w:r w:rsidR="00A60F56" w:rsidRPr="005F1F55">
        <w:rPr>
          <w:rFonts w:ascii="Calibri" w:hAnsi="Calibri" w:cs="Calibri"/>
          <w:sz w:val="20"/>
          <w:szCs w:val="20"/>
        </w:rPr>
        <w:t>example</w:t>
      </w:r>
      <w:proofErr w:type="gramEnd"/>
      <w:r w:rsidR="00A60F56" w:rsidRPr="005F1F55">
        <w:rPr>
          <w:rFonts w:ascii="Calibri" w:hAnsi="Calibri" w:cs="Calibri"/>
          <w:sz w:val="20"/>
          <w:szCs w:val="20"/>
        </w:rPr>
        <w:t xml:space="preserve"> </w:t>
      </w:r>
      <w:r w:rsidR="002575B7" w:rsidRPr="005F1F55">
        <w:rPr>
          <w:rFonts w:ascii="Calibri" w:hAnsi="Calibri" w:cs="Calibri"/>
          <w:sz w:val="20"/>
          <w:szCs w:val="20"/>
        </w:rPr>
        <w:t>in natural language processing, it visualizes word embeddings to explore semantic relationships</w:t>
      </w:r>
      <w:r w:rsidR="00A60F56" w:rsidRPr="005F1F55">
        <w:rPr>
          <w:rFonts w:ascii="Calibri" w:hAnsi="Calibri" w:cs="Calibri"/>
          <w:sz w:val="20"/>
          <w:szCs w:val="20"/>
        </w:rPr>
        <w:t>.</w:t>
      </w:r>
      <w:r w:rsidR="002575B7" w:rsidRPr="005F1F55">
        <w:rPr>
          <w:rFonts w:ascii="Calibri" w:hAnsi="Calibri" w:cs="Calibri"/>
          <w:sz w:val="20"/>
          <w:szCs w:val="20"/>
        </w:rPr>
        <w:t xml:space="preserve"> </w:t>
      </w:r>
      <w:r w:rsidR="00A60F56" w:rsidRPr="005F1F55">
        <w:rPr>
          <w:rFonts w:ascii="Calibri" w:hAnsi="Calibri" w:cs="Calibri"/>
          <w:sz w:val="20"/>
          <w:szCs w:val="20"/>
        </w:rPr>
        <w:t>I</w:t>
      </w:r>
      <w:r w:rsidR="002575B7" w:rsidRPr="005F1F55">
        <w:rPr>
          <w:rFonts w:ascii="Calibri" w:hAnsi="Calibri" w:cs="Calibri"/>
          <w:sz w:val="20"/>
          <w:szCs w:val="20"/>
        </w:rPr>
        <w:t>n computer vision, it helps analyze learned features from neural networks</w:t>
      </w:r>
      <w:r w:rsidR="00A60F56" w:rsidRPr="005F1F55">
        <w:rPr>
          <w:rFonts w:ascii="Calibri" w:hAnsi="Calibri" w:cs="Calibri"/>
          <w:sz w:val="20"/>
          <w:szCs w:val="20"/>
        </w:rPr>
        <w:t xml:space="preserve">. </w:t>
      </w:r>
      <w:r w:rsidR="005F1F55">
        <w:rPr>
          <w:rFonts w:ascii="Calibri" w:hAnsi="Calibri" w:cs="Calibri"/>
          <w:sz w:val="20"/>
          <w:szCs w:val="20"/>
        </w:rPr>
        <w:br/>
      </w:r>
    </w:p>
    <w:p w14:paraId="571E8787" w14:textId="517868D1" w:rsidR="002575B7" w:rsidRPr="00A60F56" w:rsidRDefault="00400FB3" w:rsidP="00A844A8">
      <w:pPr>
        <w:numPr>
          <w:ilvl w:val="2"/>
          <w:numId w:val="1"/>
        </w:numPr>
        <w:tabs>
          <w:tab w:val="num" w:pos="1080"/>
        </w:tabs>
        <w:ind w:left="270"/>
        <w:rPr>
          <w:rFonts w:ascii="Calibri" w:hAnsi="Calibri" w:cs="Calibri"/>
          <w:b/>
          <w:bCs/>
          <w:sz w:val="20"/>
          <w:szCs w:val="20"/>
        </w:rPr>
      </w:pPr>
      <w:r w:rsidRPr="00400FB3">
        <w:rPr>
          <w:rFonts w:ascii="Calibri" w:hAnsi="Calibri" w:cs="Calibri"/>
          <w:b/>
          <w:bCs/>
          <w:sz w:val="20"/>
          <w:szCs w:val="20"/>
        </w:rPr>
        <w:t>Provide examples of how t-SNE has been utilized in other research or industries</w:t>
      </w:r>
      <w:r w:rsidR="00A60F56">
        <w:rPr>
          <w:rFonts w:ascii="Calibri" w:hAnsi="Calibri" w:cs="Calibri"/>
          <w:b/>
          <w:bCs/>
          <w:sz w:val="20"/>
          <w:szCs w:val="20"/>
        </w:rPr>
        <w:t>:</w:t>
      </w:r>
    </w:p>
    <w:p w14:paraId="77CD8B55" w14:textId="047F4CE3" w:rsidR="002575B7" w:rsidRPr="002575B7" w:rsidRDefault="002575B7" w:rsidP="00A844A8">
      <w:pPr>
        <w:ind w:left="270"/>
        <w:jc w:val="both"/>
        <w:rPr>
          <w:rFonts w:ascii="Calibri" w:hAnsi="Calibri" w:cs="Calibri"/>
          <w:sz w:val="20"/>
          <w:szCs w:val="20"/>
        </w:rPr>
      </w:pPr>
      <w:r w:rsidRPr="002575B7">
        <w:rPr>
          <w:rFonts w:ascii="Calibri" w:hAnsi="Calibri" w:cs="Calibri"/>
          <w:sz w:val="20"/>
          <w:szCs w:val="20"/>
        </w:rPr>
        <w:t xml:space="preserve">In </w:t>
      </w:r>
      <w:r w:rsidR="004E7FE8">
        <w:rPr>
          <w:rFonts w:ascii="Calibri" w:hAnsi="Calibri" w:cs="Calibri"/>
          <w:sz w:val="20"/>
          <w:szCs w:val="20"/>
        </w:rPr>
        <w:t>pharma R&amp;D</w:t>
      </w:r>
      <w:r w:rsidRPr="002575B7">
        <w:rPr>
          <w:rFonts w:ascii="Calibri" w:hAnsi="Calibri" w:cs="Calibri"/>
          <w:sz w:val="20"/>
          <w:szCs w:val="20"/>
        </w:rPr>
        <w:t xml:space="preserve">, t-SNE has been </w:t>
      </w:r>
      <w:r w:rsidR="004E7FE8">
        <w:rPr>
          <w:rFonts w:ascii="Calibri" w:hAnsi="Calibri" w:cs="Calibri"/>
          <w:sz w:val="20"/>
          <w:szCs w:val="20"/>
        </w:rPr>
        <w:t>applied</w:t>
      </w:r>
      <w:r w:rsidRPr="002575B7">
        <w:rPr>
          <w:rFonts w:ascii="Calibri" w:hAnsi="Calibri" w:cs="Calibri"/>
          <w:sz w:val="20"/>
          <w:szCs w:val="20"/>
        </w:rPr>
        <w:t xml:space="preserve"> in advancing cancer biology, where it has been used to analyze single-cell RNA sequencing data to identify immune cell populations within tumor microenvironments, </w:t>
      </w:r>
      <w:r w:rsidR="004E7FE8">
        <w:rPr>
          <w:rFonts w:ascii="Calibri" w:hAnsi="Calibri" w:cs="Calibri"/>
          <w:sz w:val="20"/>
          <w:szCs w:val="20"/>
        </w:rPr>
        <w:t>helping</w:t>
      </w:r>
      <w:r w:rsidRPr="002575B7">
        <w:rPr>
          <w:rFonts w:ascii="Calibri" w:hAnsi="Calibri" w:cs="Calibri"/>
          <w:sz w:val="20"/>
          <w:szCs w:val="20"/>
        </w:rPr>
        <w:t xml:space="preserve"> the development of targeted immunotherapies. Pharmaceutical companies</w:t>
      </w:r>
      <w:r w:rsidR="004E7FE8">
        <w:rPr>
          <w:rFonts w:ascii="Calibri" w:hAnsi="Calibri" w:cs="Calibri"/>
          <w:sz w:val="20"/>
          <w:szCs w:val="20"/>
        </w:rPr>
        <w:t xml:space="preserve">, especially here in the Boston area, </w:t>
      </w:r>
      <w:r w:rsidRPr="002575B7">
        <w:rPr>
          <w:rFonts w:ascii="Calibri" w:hAnsi="Calibri" w:cs="Calibri"/>
          <w:sz w:val="20"/>
          <w:szCs w:val="20"/>
        </w:rPr>
        <w:t>use t-SNE to visualize chemical libraries</w:t>
      </w:r>
      <w:r w:rsidR="004E7FE8">
        <w:rPr>
          <w:rFonts w:ascii="Calibri" w:hAnsi="Calibri" w:cs="Calibri"/>
          <w:sz w:val="20"/>
          <w:szCs w:val="20"/>
        </w:rPr>
        <w:t xml:space="preserve"> by </w:t>
      </w:r>
      <w:r w:rsidRPr="002575B7">
        <w:rPr>
          <w:rFonts w:ascii="Calibri" w:hAnsi="Calibri" w:cs="Calibri"/>
          <w:sz w:val="20"/>
          <w:szCs w:val="20"/>
        </w:rPr>
        <w:t xml:space="preserve">grouping compounds by structural or functional similarity to accelerate drug discovery efforts. In healthcare analytics, t-SNE has </w:t>
      </w:r>
      <w:r w:rsidR="004E7FE8">
        <w:rPr>
          <w:rFonts w:ascii="Calibri" w:hAnsi="Calibri" w:cs="Calibri"/>
          <w:sz w:val="20"/>
          <w:szCs w:val="20"/>
        </w:rPr>
        <w:t xml:space="preserve">been used to </w:t>
      </w:r>
      <w:r w:rsidRPr="002575B7">
        <w:rPr>
          <w:rFonts w:ascii="Calibri" w:hAnsi="Calibri" w:cs="Calibri"/>
          <w:sz w:val="20"/>
          <w:szCs w:val="20"/>
        </w:rPr>
        <w:t xml:space="preserve">cluster patient populations based on genetic and clinical data, helping uncover disease subtypes and inform precision medicine approaches. Outside life sciences, t-SNE has been applied in natural language processing to visualize word embeddings such as Word2Vec, uncovering relationships like synonyms or analogies. </w:t>
      </w:r>
      <w:r w:rsidR="004E7FE8">
        <w:rPr>
          <w:rFonts w:ascii="Calibri" w:hAnsi="Calibri" w:cs="Calibri"/>
          <w:sz w:val="20"/>
          <w:szCs w:val="20"/>
        </w:rPr>
        <w:t>In</w:t>
      </w:r>
      <w:r w:rsidRPr="002575B7">
        <w:rPr>
          <w:rFonts w:ascii="Calibri" w:hAnsi="Calibri" w:cs="Calibri"/>
          <w:sz w:val="20"/>
          <w:szCs w:val="20"/>
        </w:rPr>
        <w:t xml:space="preserve"> cybersecurity</w:t>
      </w:r>
      <w:r w:rsidR="004E7FE8">
        <w:rPr>
          <w:rFonts w:ascii="Calibri" w:hAnsi="Calibri" w:cs="Calibri"/>
          <w:sz w:val="20"/>
          <w:szCs w:val="20"/>
        </w:rPr>
        <w:t xml:space="preserve"> </w:t>
      </w:r>
      <w:r w:rsidRPr="002575B7">
        <w:rPr>
          <w:rFonts w:ascii="Calibri" w:hAnsi="Calibri" w:cs="Calibri"/>
          <w:sz w:val="20"/>
          <w:szCs w:val="20"/>
        </w:rPr>
        <w:t>it has been used to detect anomalies in network traffic, differentiating between normal and suspicious patterns</w:t>
      </w:r>
      <w:r w:rsidR="004E7FE8">
        <w:rPr>
          <w:rFonts w:ascii="Calibri" w:hAnsi="Calibri" w:cs="Calibri"/>
          <w:sz w:val="20"/>
          <w:szCs w:val="20"/>
        </w:rPr>
        <w:t>, as showed by AWS in their yearly summits</w:t>
      </w:r>
      <w:r w:rsidRPr="002575B7">
        <w:rPr>
          <w:rFonts w:ascii="Calibri" w:hAnsi="Calibri" w:cs="Calibri"/>
          <w:sz w:val="20"/>
          <w:szCs w:val="20"/>
        </w:rPr>
        <w:t xml:space="preserve">. </w:t>
      </w:r>
    </w:p>
    <w:p w14:paraId="1A34E1A7" w14:textId="77777777" w:rsidR="009168D4" w:rsidRDefault="009168D4">
      <w:pPr>
        <w:rPr>
          <w:rFonts w:ascii="Calibri" w:hAnsi="Calibri" w:cs="Calibri"/>
          <w:sz w:val="20"/>
          <w:szCs w:val="20"/>
        </w:rPr>
      </w:pPr>
    </w:p>
    <w:p w14:paraId="69A2B23C" w14:textId="4FCCD551" w:rsidR="005F1F55" w:rsidRDefault="005F1F55" w:rsidP="005F1F55">
      <w:pPr>
        <w:pStyle w:val="ListParagraph"/>
        <w:numPr>
          <w:ilvl w:val="0"/>
          <w:numId w:val="5"/>
        </w:numPr>
        <w:rPr>
          <w:rFonts w:ascii="Calibri" w:hAnsi="Calibri" w:cs="Calibri"/>
          <w:sz w:val="20"/>
          <w:szCs w:val="20"/>
        </w:rPr>
      </w:pPr>
      <w:r w:rsidRPr="005F1F55">
        <w:rPr>
          <w:rFonts w:ascii="Calibri" w:hAnsi="Calibri" w:cs="Calibri"/>
          <w:sz w:val="20"/>
          <w:szCs w:val="20"/>
        </w:rPr>
        <w:t xml:space="preserve">"Visualizing Data using t-SNE" by Laurens van der </w:t>
      </w:r>
      <w:proofErr w:type="spellStart"/>
      <w:r w:rsidRPr="005F1F55">
        <w:rPr>
          <w:rFonts w:ascii="Calibri" w:hAnsi="Calibri" w:cs="Calibri"/>
          <w:sz w:val="20"/>
          <w:szCs w:val="20"/>
        </w:rPr>
        <w:t>Maaten</w:t>
      </w:r>
      <w:proofErr w:type="spellEnd"/>
      <w:r w:rsidRPr="005F1F55">
        <w:rPr>
          <w:rFonts w:ascii="Calibri" w:hAnsi="Calibri" w:cs="Calibri"/>
          <w:sz w:val="20"/>
          <w:szCs w:val="20"/>
        </w:rPr>
        <w:t xml:space="preserve"> and Geoffrey Hinton (Journal of Machine Learning Research, 2008)</w:t>
      </w:r>
    </w:p>
    <w:p w14:paraId="742C2F9D" w14:textId="601E27C0" w:rsidR="005F1F55" w:rsidRPr="005F1F55" w:rsidRDefault="005F1F55" w:rsidP="005F1F55">
      <w:pPr>
        <w:pStyle w:val="ListParagraph"/>
        <w:numPr>
          <w:ilvl w:val="0"/>
          <w:numId w:val="5"/>
        </w:numPr>
        <w:rPr>
          <w:rFonts w:ascii="Calibri" w:hAnsi="Calibri" w:cs="Calibri"/>
          <w:sz w:val="20"/>
          <w:szCs w:val="20"/>
        </w:rPr>
      </w:pPr>
      <w:r w:rsidRPr="005F1F55">
        <w:rPr>
          <w:rFonts w:ascii="Calibri" w:hAnsi="Calibri" w:cs="Calibri"/>
          <w:sz w:val="20"/>
          <w:szCs w:val="20"/>
        </w:rPr>
        <w:t xml:space="preserve">Curse of Dimensionality, t-SNE and </w:t>
      </w:r>
      <w:proofErr w:type="spellStart"/>
      <w:r w:rsidRPr="005F1F55">
        <w:rPr>
          <w:rFonts w:ascii="Calibri" w:hAnsi="Calibri" w:cs="Calibri"/>
          <w:sz w:val="20"/>
          <w:szCs w:val="20"/>
        </w:rPr>
        <w:t>Kullback-Leibler</w:t>
      </w:r>
      <w:proofErr w:type="spellEnd"/>
      <w:r w:rsidRPr="005F1F55">
        <w:rPr>
          <w:rFonts w:ascii="Calibri" w:hAnsi="Calibri" w:cs="Calibri"/>
          <w:sz w:val="20"/>
          <w:szCs w:val="20"/>
        </w:rPr>
        <w:t xml:space="preserve"> Divergence</w:t>
      </w:r>
      <w:r>
        <w:rPr>
          <w:rFonts w:ascii="Calibri" w:hAnsi="Calibri" w:cs="Calibri"/>
          <w:sz w:val="20"/>
          <w:szCs w:val="20"/>
        </w:rPr>
        <w:t xml:space="preserve">, </w:t>
      </w:r>
      <w:r w:rsidRPr="005F1F55">
        <w:rPr>
          <w:rFonts w:ascii="Calibri" w:hAnsi="Calibri" w:cs="Calibri"/>
          <w:sz w:val="20"/>
          <w:szCs w:val="20"/>
        </w:rPr>
        <w:t xml:space="preserve">Johannes </w:t>
      </w:r>
      <w:proofErr w:type="spellStart"/>
      <w:r w:rsidRPr="005F1F55">
        <w:rPr>
          <w:rFonts w:ascii="Calibri" w:hAnsi="Calibri" w:cs="Calibri"/>
          <w:sz w:val="20"/>
          <w:szCs w:val="20"/>
        </w:rPr>
        <w:t>Otterbach</w:t>
      </w:r>
      <w:proofErr w:type="spellEnd"/>
      <w:r>
        <w:rPr>
          <w:rFonts w:ascii="Calibri" w:hAnsi="Calibri" w:cs="Calibri"/>
          <w:sz w:val="20"/>
          <w:szCs w:val="20"/>
        </w:rPr>
        <w:t>.</w:t>
      </w:r>
    </w:p>
    <w:sectPr w:rsidR="005F1F55" w:rsidRPr="005F1F5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D9CDCD" w14:textId="77777777" w:rsidR="008227DB" w:rsidRDefault="008227DB" w:rsidP="00400FB3">
      <w:r>
        <w:separator/>
      </w:r>
    </w:p>
  </w:endnote>
  <w:endnote w:type="continuationSeparator" w:id="0">
    <w:p w14:paraId="0AD27FDC" w14:textId="77777777" w:rsidR="008227DB" w:rsidRDefault="008227DB" w:rsidP="00400F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2EA39E" w14:textId="77777777" w:rsidR="008227DB" w:rsidRDefault="008227DB" w:rsidP="00400FB3">
      <w:r>
        <w:separator/>
      </w:r>
    </w:p>
  </w:footnote>
  <w:footnote w:type="continuationSeparator" w:id="0">
    <w:p w14:paraId="1BBEEE54" w14:textId="77777777" w:rsidR="008227DB" w:rsidRDefault="008227DB" w:rsidP="00400F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2FA0A3" w14:textId="75598FDB" w:rsidR="00400FB3" w:rsidRDefault="00400FB3">
    <w:pPr>
      <w:pStyle w:val="Header"/>
    </w:pPr>
    <w:r>
      <w:t>Assignment 4 – Task 2</w:t>
    </w:r>
    <w:r>
      <w:tab/>
    </w:r>
    <w:r>
      <w:tab/>
      <w:t>Saleh Alkhalifa</w:t>
    </w:r>
  </w:p>
  <w:p w14:paraId="5233A054" w14:textId="7477CB7C" w:rsidR="00400FB3" w:rsidRDefault="00400FB3">
    <w:pPr>
      <w:pStyle w:val="Header"/>
    </w:pPr>
    <w:r>
      <w:t>Summarize a Relevant Paper</w:t>
    </w:r>
    <w:r>
      <w:tab/>
    </w:r>
    <w:r>
      <w:tab/>
      <w:t>11/20/2024</w:t>
    </w:r>
  </w:p>
  <w:p w14:paraId="793E2F20" w14:textId="77777777" w:rsidR="00400FB3" w:rsidRDefault="00400F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8D6F9A"/>
    <w:multiLevelType w:val="multilevel"/>
    <w:tmpl w:val="645C9A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630"/>
        </w:tabs>
        <w:ind w:left="63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CD143C"/>
    <w:multiLevelType w:val="multilevel"/>
    <w:tmpl w:val="EBC2F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2A0C66"/>
    <w:multiLevelType w:val="hybridMultilevel"/>
    <w:tmpl w:val="AD5AFE8C"/>
    <w:lvl w:ilvl="0" w:tplc="528673D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A11C4D"/>
    <w:multiLevelType w:val="hybridMultilevel"/>
    <w:tmpl w:val="2E0E3876"/>
    <w:lvl w:ilvl="0" w:tplc="E780C7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953F20"/>
    <w:multiLevelType w:val="multilevel"/>
    <w:tmpl w:val="05E46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2018301">
    <w:abstractNumId w:val="0"/>
  </w:num>
  <w:num w:numId="2" w16cid:durableId="475293636">
    <w:abstractNumId w:val="4"/>
  </w:num>
  <w:num w:numId="3" w16cid:durableId="289240079">
    <w:abstractNumId w:val="1"/>
  </w:num>
  <w:num w:numId="4" w16cid:durableId="1120219813">
    <w:abstractNumId w:val="2"/>
  </w:num>
  <w:num w:numId="5" w16cid:durableId="16005306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FB3"/>
    <w:rsid w:val="000D0858"/>
    <w:rsid w:val="00151A17"/>
    <w:rsid w:val="00173B4E"/>
    <w:rsid w:val="00194B13"/>
    <w:rsid w:val="001D76B4"/>
    <w:rsid w:val="002074F8"/>
    <w:rsid w:val="002077EF"/>
    <w:rsid w:val="002575B7"/>
    <w:rsid w:val="00274997"/>
    <w:rsid w:val="00296313"/>
    <w:rsid w:val="002C4B79"/>
    <w:rsid w:val="0031175E"/>
    <w:rsid w:val="003136D1"/>
    <w:rsid w:val="00353FAC"/>
    <w:rsid w:val="00400FB3"/>
    <w:rsid w:val="00446102"/>
    <w:rsid w:val="004E7FE8"/>
    <w:rsid w:val="00550BBE"/>
    <w:rsid w:val="00572099"/>
    <w:rsid w:val="005B1DCB"/>
    <w:rsid w:val="005F1F55"/>
    <w:rsid w:val="00677B68"/>
    <w:rsid w:val="00731606"/>
    <w:rsid w:val="008227DB"/>
    <w:rsid w:val="008C454A"/>
    <w:rsid w:val="008D4D6B"/>
    <w:rsid w:val="009168D4"/>
    <w:rsid w:val="00926FC1"/>
    <w:rsid w:val="009E35AE"/>
    <w:rsid w:val="00A60F56"/>
    <w:rsid w:val="00A61F9F"/>
    <w:rsid w:val="00A728C7"/>
    <w:rsid w:val="00A80F38"/>
    <w:rsid w:val="00A844A8"/>
    <w:rsid w:val="00AD0D29"/>
    <w:rsid w:val="00B34448"/>
    <w:rsid w:val="00B54273"/>
    <w:rsid w:val="00BD5108"/>
    <w:rsid w:val="00BE13D7"/>
    <w:rsid w:val="00BE3198"/>
    <w:rsid w:val="00C262C4"/>
    <w:rsid w:val="00C32F3A"/>
    <w:rsid w:val="00D55DA5"/>
    <w:rsid w:val="00D80059"/>
    <w:rsid w:val="00DA4CE4"/>
    <w:rsid w:val="00E6525E"/>
    <w:rsid w:val="00E90CA9"/>
    <w:rsid w:val="00ED0C0C"/>
    <w:rsid w:val="00F5400D"/>
    <w:rsid w:val="00F91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7FB90D"/>
  <w15:chartTrackingRefBased/>
  <w15:docId w15:val="{BF1D5563-5768-4B40-9134-D743750AF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0FB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00FB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00FB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00FB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00FB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00FB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0FB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0FB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0FB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0FB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00FB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00FB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00FB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00FB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00F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0F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0F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0FB3"/>
    <w:rPr>
      <w:rFonts w:eastAsiaTheme="majorEastAsia" w:cstheme="majorBidi"/>
      <w:color w:val="272727" w:themeColor="text1" w:themeTint="D8"/>
    </w:rPr>
  </w:style>
  <w:style w:type="paragraph" w:styleId="Title">
    <w:name w:val="Title"/>
    <w:basedOn w:val="Normal"/>
    <w:next w:val="Normal"/>
    <w:link w:val="TitleChar"/>
    <w:uiPriority w:val="10"/>
    <w:qFormat/>
    <w:rsid w:val="00400FB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0F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0FB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0F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0FB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00FB3"/>
    <w:rPr>
      <w:i/>
      <w:iCs/>
      <w:color w:val="404040" w:themeColor="text1" w:themeTint="BF"/>
    </w:rPr>
  </w:style>
  <w:style w:type="paragraph" w:styleId="ListParagraph">
    <w:name w:val="List Paragraph"/>
    <w:basedOn w:val="Normal"/>
    <w:uiPriority w:val="34"/>
    <w:qFormat/>
    <w:rsid w:val="00400FB3"/>
    <w:pPr>
      <w:ind w:left="720"/>
      <w:contextualSpacing/>
    </w:pPr>
  </w:style>
  <w:style w:type="character" w:styleId="IntenseEmphasis">
    <w:name w:val="Intense Emphasis"/>
    <w:basedOn w:val="DefaultParagraphFont"/>
    <w:uiPriority w:val="21"/>
    <w:qFormat/>
    <w:rsid w:val="00400FB3"/>
    <w:rPr>
      <w:i/>
      <w:iCs/>
      <w:color w:val="2F5496" w:themeColor="accent1" w:themeShade="BF"/>
    </w:rPr>
  </w:style>
  <w:style w:type="paragraph" w:styleId="IntenseQuote">
    <w:name w:val="Intense Quote"/>
    <w:basedOn w:val="Normal"/>
    <w:next w:val="Normal"/>
    <w:link w:val="IntenseQuoteChar"/>
    <w:uiPriority w:val="30"/>
    <w:qFormat/>
    <w:rsid w:val="00400FB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00FB3"/>
    <w:rPr>
      <w:i/>
      <w:iCs/>
      <w:color w:val="2F5496" w:themeColor="accent1" w:themeShade="BF"/>
    </w:rPr>
  </w:style>
  <w:style w:type="character" w:styleId="IntenseReference">
    <w:name w:val="Intense Reference"/>
    <w:basedOn w:val="DefaultParagraphFont"/>
    <w:uiPriority w:val="32"/>
    <w:qFormat/>
    <w:rsid w:val="00400FB3"/>
    <w:rPr>
      <w:b/>
      <w:bCs/>
      <w:smallCaps/>
      <w:color w:val="2F5496" w:themeColor="accent1" w:themeShade="BF"/>
      <w:spacing w:val="5"/>
    </w:rPr>
  </w:style>
  <w:style w:type="paragraph" w:styleId="Header">
    <w:name w:val="header"/>
    <w:basedOn w:val="Normal"/>
    <w:link w:val="HeaderChar"/>
    <w:uiPriority w:val="99"/>
    <w:unhideWhenUsed/>
    <w:rsid w:val="00400FB3"/>
    <w:pPr>
      <w:tabs>
        <w:tab w:val="center" w:pos="4680"/>
        <w:tab w:val="right" w:pos="9360"/>
      </w:tabs>
    </w:pPr>
  </w:style>
  <w:style w:type="character" w:customStyle="1" w:styleId="HeaderChar">
    <w:name w:val="Header Char"/>
    <w:basedOn w:val="DefaultParagraphFont"/>
    <w:link w:val="Header"/>
    <w:uiPriority w:val="99"/>
    <w:rsid w:val="00400FB3"/>
  </w:style>
  <w:style w:type="paragraph" w:styleId="Footer">
    <w:name w:val="footer"/>
    <w:basedOn w:val="Normal"/>
    <w:link w:val="FooterChar"/>
    <w:uiPriority w:val="99"/>
    <w:unhideWhenUsed/>
    <w:rsid w:val="00400FB3"/>
    <w:pPr>
      <w:tabs>
        <w:tab w:val="center" w:pos="4680"/>
        <w:tab w:val="right" w:pos="9360"/>
      </w:tabs>
    </w:pPr>
  </w:style>
  <w:style w:type="character" w:customStyle="1" w:styleId="FooterChar">
    <w:name w:val="Footer Char"/>
    <w:basedOn w:val="DefaultParagraphFont"/>
    <w:link w:val="Footer"/>
    <w:uiPriority w:val="99"/>
    <w:rsid w:val="00400FB3"/>
  </w:style>
  <w:style w:type="paragraph" w:styleId="NormalWeb">
    <w:name w:val="Normal (Web)"/>
    <w:basedOn w:val="Normal"/>
    <w:uiPriority w:val="99"/>
    <w:unhideWhenUsed/>
    <w:rsid w:val="002575B7"/>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0729651">
      <w:bodyDiv w:val="1"/>
      <w:marLeft w:val="0"/>
      <w:marRight w:val="0"/>
      <w:marTop w:val="0"/>
      <w:marBottom w:val="0"/>
      <w:divBdr>
        <w:top w:val="none" w:sz="0" w:space="0" w:color="auto"/>
        <w:left w:val="none" w:sz="0" w:space="0" w:color="auto"/>
        <w:bottom w:val="none" w:sz="0" w:space="0" w:color="auto"/>
        <w:right w:val="none" w:sz="0" w:space="0" w:color="auto"/>
      </w:divBdr>
    </w:div>
    <w:div w:id="675230302">
      <w:bodyDiv w:val="1"/>
      <w:marLeft w:val="0"/>
      <w:marRight w:val="0"/>
      <w:marTop w:val="0"/>
      <w:marBottom w:val="0"/>
      <w:divBdr>
        <w:top w:val="none" w:sz="0" w:space="0" w:color="auto"/>
        <w:left w:val="none" w:sz="0" w:space="0" w:color="auto"/>
        <w:bottom w:val="none" w:sz="0" w:space="0" w:color="auto"/>
        <w:right w:val="none" w:sz="0" w:space="0" w:color="auto"/>
      </w:divBdr>
    </w:div>
    <w:div w:id="771433235">
      <w:bodyDiv w:val="1"/>
      <w:marLeft w:val="0"/>
      <w:marRight w:val="0"/>
      <w:marTop w:val="0"/>
      <w:marBottom w:val="0"/>
      <w:divBdr>
        <w:top w:val="none" w:sz="0" w:space="0" w:color="auto"/>
        <w:left w:val="none" w:sz="0" w:space="0" w:color="auto"/>
        <w:bottom w:val="none" w:sz="0" w:space="0" w:color="auto"/>
        <w:right w:val="none" w:sz="0" w:space="0" w:color="auto"/>
      </w:divBdr>
    </w:div>
    <w:div w:id="922838154">
      <w:bodyDiv w:val="1"/>
      <w:marLeft w:val="0"/>
      <w:marRight w:val="0"/>
      <w:marTop w:val="0"/>
      <w:marBottom w:val="0"/>
      <w:divBdr>
        <w:top w:val="none" w:sz="0" w:space="0" w:color="auto"/>
        <w:left w:val="none" w:sz="0" w:space="0" w:color="auto"/>
        <w:bottom w:val="none" w:sz="0" w:space="0" w:color="auto"/>
        <w:right w:val="none" w:sz="0" w:space="0" w:color="auto"/>
      </w:divBdr>
    </w:div>
    <w:div w:id="924802296">
      <w:bodyDiv w:val="1"/>
      <w:marLeft w:val="0"/>
      <w:marRight w:val="0"/>
      <w:marTop w:val="0"/>
      <w:marBottom w:val="0"/>
      <w:divBdr>
        <w:top w:val="none" w:sz="0" w:space="0" w:color="auto"/>
        <w:left w:val="none" w:sz="0" w:space="0" w:color="auto"/>
        <w:bottom w:val="none" w:sz="0" w:space="0" w:color="auto"/>
        <w:right w:val="none" w:sz="0" w:space="0" w:color="auto"/>
      </w:divBdr>
      <w:divsChild>
        <w:div w:id="162673572">
          <w:marLeft w:val="0"/>
          <w:marRight w:val="0"/>
          <w:marTop w:val="0"/>
          <w:marBottom w:val="0"/>
          <w:divBdr>
            <w:top w:val="none" w:sz="0" w:space="0" w:color="auto"/>
            <w:left w:val="none" w:sz="0" w:space="0" w:color="auto"/>
            <w:bottom w:val="none" w:sz="0" w:space="0" w:color="auto"/>
            <w:right w:val="none" w:sz="0" w:space="0" w:color="auto"/>
          </w:divBdr>
          <w:divsChild>
            <w:div w:id="429199922">
              <w:marLeft w:val="0"/>
              <w:marRight w:val="0"/>
              <w:marTop w:val="0"/>
              <w:marBottom w:val="0"/>
              <w:divBdr>
                <w:top w:val="none" w:sz="0" w:space="0" w:color="auto"/>
                <w:left w:val="none" w:sz="0" w:space="0" w:color="auto"/>
                <w:bottom w:val="none" w:sz="0" w:space="0" w:color="auto"/>
                <w:right w:val="none" w:sz="0" w:space="0" w:color="auto"/>
              </w:divBdr>
              <w:divsChild>
                <w:div w:id="1914774578">
                  <w:marLeft w:val="0"/>
                  <w:marRight w:val="0"/>
                  <w:marTop w:val="0"/>
                  <w:marBottom w:val="0"/>
                  <w:divBdr>
                    <w:top w:val="none" w:sz="0" w:space="0" w:color="auto"/>
                    <w:left w:val="none" w:sz="0" w:space="0" w:color="auto"/>
                    <w:bottom w:val="none" w:sz="0" w:space="0" w:color="auto"/>
                    <w:right w:val="none" w:sz="0" w:space="0" w:color="auto"/>
                  </w:divBdr>
                  <w:divsChild>
                    <w:div w:id="40934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166458">
      <w:bodyDiv w:val="1"/>
      <w:marLeft w:val="0"/>
      <w:marRight w:val="0"/>
      <w:marTop w:val="0"/>
      <w:marBottom w:val="0"/>
      <w:divBdr>
        <w:top w:val="none" w:sz="0" w:space="0" w:color="auto"/>
        <w:left w:val="none" w:sz="0" w:space="0" w:color="auto"/>
        <w:bottom w:val="none" w:sz="0" w:space="0" w:color="auto"/>
        <w:right w:val="none" w:sz="0" w:space="0" w:color="auto"/>
      </w:divBdr>
      <w:divsChild>
        <w:div w:id="772674693">
          <w:marLeft w:val="0"/>
          <w:marRight w:val="0"/>
          <w:marTop w:val="0"/>
          <w:marBottom w:val="0"/>
          <w:divBdr>
            <w:top w:val="none" w:sz="0" w:space="0" w:color="auto"/>
            <w:left w:val="none" w:sz="0" w:space="0" w:color="auto"/>
            <w:bottom w:val="none" w:sz="0" w:space="0" w:color="auto"/>
            <w:right w:val="none" w:sz="0" w:space="0" w:color="auto"/>
          </w:divBdr>
          <w:divsChild>
            <w:div w:id="319503052">
              <w:marLeft w:val="0"/>
              <w:marRight w:val="0"/>
              <w:marTop w:val="0"/>
              <w:marBottom w:val="0"/>
              <w:divBdr>
                <w:top w:val="none" w:sz="0" w:space="0" w:color="auto"/>
                <w:left w:val="none" w:sz="0" w:space="0" w:color="auto"/>
                <w:bottom w:val="none" w:sz="0" w:space="0" w:color="auto"/>
                <w:right w:val="none" w:sz="0" w:space="0" w:color="auto"/>
              </w:divBdr>
              <w:divsChild>
                <w:div w:id="1803843679">
                  <w:marLeft w:val="0"/>
                  <w:marRight w:val="0"/>
                  <w:marTop w:val="0"/>
                  <w:marBottom w:val="0"/>
                  <w:divBdr>
                    <w:top w:val="none" w:sz="0" w:space="0" w:color="auto"/>
                    <w:left w:val="none" w:sz="0" w:space="0" w:color="auto"/>
                    <w:bottom w:val="none" w:sz="0" w:space="0" w:color="auto"/>
                    <w:right w:val="none" w:sz="0" w:space="0" w:color="auto"/>
                  </w:divBdr>
                  <w:divsChild>
                    <w:div w:id="30192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997035">
      <w:bodyDiv w:val="1"/>
      <w:marLeft w:val="0"/>
      <w:marRight w:val="0"/>
      <w:marTop w:val="0"/>
      <w:marBottom w:val="0"/>
      <w:divBdr>
        <w:top w:val="none" w:sz="0" w:space="0" w:color="auto"/>
        <w:left w:val="none" w:sz="0" w:space="0" w:color="auto"/>
        <w:bottom w:val="none" w:sz="0" w:space="0" w:color="auto"/>
        <w:right w:val="none" w:sz="0" w:space="0" w:color="auto"/>
      </w:divBdr>
    </w:div>
    <w:div w:id="1783962953">
      <w:bodyDiv w:val="1"/>
      <w:marLeft w:val="0"/>
      <w:marRight w:val="0"/>
      <w:marTop w:val="0"/>
      <w:marBottom w:val="0"/>
      <w:divBdr>
        <w:top w:val="none" w:sz="0" w:space="0" w:color="auto"/>
        <w:left w:val="none" w:sz="0" w:space="0" w:color="auto"/>
        <w:bottom w:val="none" w:sz="0" w:space="0" w:color="auto"/>
        <w:right w:val="none" w:sz="0" w:space="0" w:color="auto"/>
      </w:divBdr>
      <w:divsChild>
        <w:div w:id="62605033">
          <w:marLeft w:val="0"/>
          <w:marRight w:val="0"/>
          <w:marTop w:val="0"/>
          <w:marBottom w:val="0"/>
          <w:divBdr>
            <w:top w:val="none" w:sz="0" w:space="0" w:color="auto"/>
            <w:left w:val="none" w:sz="0" w:space="0" w:color="auto"/>
            <w:bottom w:val="none" w:sz="0" w:space="0" w:color="auto"/>
            <w:right w:val="none" w:sz="0" w:space="0" w:color="auto"/>
          </w:divBdr>
          <w:divsChild>
            <w:div w:id="1242525707">
              <w:marLeft w:val="0"/>
              <w:marRight w:val="0"/>
              <w:marTop w:val="0"/>
              <w:marBottom w:val="0"/>
              <w:divBdr>
                <w:top w:val="none" w:sz="0" w:space="0" w:color="auto"/>
                <w:left w:val="none" w:sz="0" w:space="0" w:color="auto"/>
                <w:bottom w:val="none" w:sz="0" w:space="0" w:color="auto"/>
                <w:right w:val="none" w:sz="0" w:space="0" w:color="auto"/>
              </w:divBdr>
              <w:divsChild>
                <w:div w:id="310133560">
                  <w:marLeft w:val="0"/>
                  <w:marRight w:val="0"/>
                  <w:marTop w:val="0"/>
                  <w:marBottom w:val="0"/>
                  <w:divBdr>
                    <w:top w:val="none" w:sz="0" w:space="0" w:color="auto"/>
                    <w:left w:val="none" w:sz="0" w:space="0" w:color="auto"/>
                    <w:bottom w:val="none" w:sz="0" w:space="0" w:color="auto"/>
                    <w:right w:val="none" w:sz="0" w:space="0" w:color="auto"/>
                  </w:divBdr>
                  <w:divsChild>
                    <w:div w:id="33877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444407">
      <w:bodyDiv w:val="1"/>
      <w:marLeft w:val="0"/>
      <w:marRight w:val="0"/>
      <w:marTop w:val="0"/>
      <w:marBottom w:val="0"/>
      <w:divBdr>
        <w:top w:val="none" w:sz="0" w:space="0" w:color="auto"/>
        <w:left w:val="none" w:sz="0" w:space="0" w:color="auto"/>
        <w:bottom w:val="none" w:sz="0" w:space="0" w:color="auto"/>
        <w:right w:val="none" w:sz="0" w:space="0" w:color="auto"/>
      </w:divBdr>
      <w:divsChild>
        <w:div w:id="1748310197">
          <w:marLeft w:val="0"/>
          <w:marRight w:val="0"/>
          <w:marTop w:val="0"/>
          <w:marBottom w:val="0"/>
          <w:divBdr>
            <w:top w:val="none" w:sz="0" w:space="0" w:color="auto"/>
            <w:left w:val="none" w:sz="0" w:space="0" w:color="auto"/>
            <w:bottom w:val="none" w:sz="0" w:space="0" w:color="auto"/>
            <w:right w:val="none" w:sz="0" w:space="0" w:color="auto"/>
          </w:divBdr>
          <w:divsChild>
            <w:div w:id="1868525795">
              <w:marLeft w:val="0"/>
              <w:marRight w:val="0"/>
              <w:marTop w:val="0"/>
              <w:marBottom w:val="0"/>
              <w:divBdr>
                <w:top w:val="none" w:sz="0" w:space="0" w:color="auto"/>
                <w:left w:val="none" w:sz="0" w:space="0" w:color="auto"/>
                <w:bottom w:val="none" w:sz="0" w:space="0" w:color="auto"/>
                <w:right w:val="none" w:sz="0" w:space="0" w:color="auto"/>
              </w:divBdr>
              <w:divsChild>
                <w:div w:id="1865632529">
                  <w:marLeft w:val="0"/>
                  <w:marRight w:val="0"/>
                  <w:marTop w:val="0"/>
                  <w:marBottom w:val="0"/>
                  <w:divBdr>
                    <w:top w:val="none" w:sz="0" w:space="0" w:color="auto"/>
                    <w:left w:val="none" w:sz="0" w:space="0" w:color="auto"/>
                    <w:bottom w:val="none" w:sz="0" w:space="0" w:color="auto"/>
                    <w:right w:val="none" w:sz="0" w:space="0" w:color="auto"/>
                  </w:divBdr>
                  <w:divsChild>
                    <w:div w:id="91235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216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1444</Words>
  <Characters>8232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Saleh Alkhalifa</dc:creator>
  <cp:keywords/>
  <dc:description/>
  <cp:lastModifiedBy>Saleh Alkhalifa</cp:lastModifiedBy>
  <cp:revision>2</cp:revision>
  <dcterms:created xsi:type="dcterms:W3CDTF">2024-11-24T15:00:00Z</dcterms:created>
  <dcterms:modified xsi:type="dcterms:W3CDTF">2024-11-24T15:00:00Z</dcterms:modified>
</cp:coreProperties>
</file>