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body>
    <w:p>
      <w:pPr>
        <w:pStyle w:val="Heading1"/>
        <w:jc w:val="center"/>
      </w:pPr>
      <w:r>
        <w:t xml:space="preserve">Data Retention Policy</w:t>
      </w:r>
    </w:p>
    <w:p>
      <w:pPr/>
      <w:r>
        <w:rPr>
          <w:b/>
          <w:bCs/>
        </w:rPr>
        <w:t xml:space="preserve">Contents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Introduction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Purpose and Scope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General Principles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0" w:type="auto"/>
          </w:tcPr>
          <w:p>
            <w:pPr/>
            <w:r>
              <w:t xml:space="preserve">Policy name: Data Retention Policy</w:t>
            </w:r>
          </w:p>
        </w:tc>
        <w:tc>
          <w:tcPr>
            <w:tcW w:w="0" w:type="auto"/>
          </w:tcPr>
          <w:p>
            <w:pPr/>
            <w:r>
              <w:t xml:space="preserve">Policy number: 101</w:t>
            </w:r>
          </w:p>
        </w:tc>
      </w:tr>
      <w:tr>
        <w:tc>
          <w:tcPr>
            <w:tcW w:w="0" w:type="auto"/>
          </w:tcPr>
          <w:p>
            <w:pPr/>
            <w:r>
              <w:t xml:space="preserve">Approved: June 2026</w:t>
            </w:r>
          </w:p>
        </w:tc>
        <w:tc>
          <w:tcPr>
            <w:tcW w:w="0" w:type="auto"/>
          </w:tcPr>
          <w:p>
            <w:pPr/>
            <w:r>
              <w:t xml:space="preserve">Review: June 2028</w:t>
            </w:r>
          </w:p>
        </w:tc>
      </w:tr>
    </w:tbl>
    <w:p>
      <w:pPr>
        <w:numPr>
          <w:ilvl w:val="0"/>
          <w:numId w:val="1"/>
        </w:numPr>
      </w:pPr>
      <w:r>
        <w:rPr>
          <w:b/>
          <w:bCs/>
        </w:rPr>
        <w:t xml:space="preserve">Introduction</w:t>
      </w:r>
    </w:p>
    <w:p>
      <w:pPr>
        <w:numPr>
          <w:ilvl w:val="1"/>
          <w:numId w:val="1"/>
        </w:numPr>
      </w:pPr>
      <w:r>
        <w:t xml:space="preserve">A data retention policy is part of the life of personal data, from collection to disposal.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Purpose and Scope</w:t>
      </w:r>
    </w:p>
    <w:p>
      <w:pPr>
        <w:numPr>
          <w:ilvl w:val="1"/>
          <w:numId w:val="1"/>
        </w:numPr>
      </w:pPr>
      <w:r>
        <w:t xml:space="preserve">The purpose of this policy is to:</w:t>
      </w:r>
    </w:p>
    <w:p>
      <w:pPr>
        <w:numPr>
          <w:ilvl w:val="0"/>
          <w:numId w:val="90"/>
        </w:numPr>
      </w:pPr>
      <w:r>
        <w:t xml:space="preserve">keep personal data no longer than it is needed</w:t>
      </w:r>
    </w:p>
    <w:p>
      <w:pPr>
        <w:numPr>
          <w:ilvl w:val="0"/>
          <w:numId w:val="90"/>
        </w:numPr>
      </w:pPr>
      <w:r>
        <w:t xml:space="preserve">keep the records the law requires</w:t>
      </w:r>
    </w:p>
    <w:p>
      <w:pPr>
        <w:numPr>
          <w:ilvl w:val="1"/>
          <w:numId w:val="1"/>
        </w:numPr>
      </w:pPr>
      <w:r>
        <w:t xml:space="preserve">It applies to all staff, students and contractors who hold personal data.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0" w:type="auto"/>
          </w:tcPr>
          <w:p>
            <w:pPr/>
            <w:r>
              <w:t xml:space="preserve">Policy name: Data Retention Policy</w:t>
            </w:r>
          </w:p>
        </w:tc>
        <w:tc>
          <w:tcPr>
            <w:tcW w:w="0" w:type="auto"/>
          </w:tcPr>
          <w:p>
            <w:pPr/>
            <w:r>
              <w:t xml:space="preserve">Policy number: 101</w:t>
            </w:r>
          </w:p>
        </w:tc>
      </w:tr>
      <w:tr>
        <w:tc>
          <w:tcPr>
            <w:tcW w:w="0" w:type="auto"/>
          </w:tcPr>
          <w:p>
            <w:pPr/>
            <w:r>
              <w:t xml:space="preserve">Approved: June 2026</w:t>
            </w:r>
          </w:p>
        </w:tc>
        <w:tc>
          <w:tcPr>
            <w:tcW w:w="0" w:type="auto"/>
          </w:tcPr>
          <w:p>
            <w:pPr/>
            <w:r>
              <w:t xml:space="preserve">Review: June 2028</w:t>
            </w:r>
          </w:p>
        </w:tc>
      </w:tr>
    </w:tbl>
    <w:p>
      <w:pPr>
        <w:numPr>
          <w:ilvl w:val="0"/>
          <w:numId w:val="1"/>
        </w:numPr>
      </w:pPr>
      <w:r>
        <w:rPr>
          <w:b/>
          <w:bCs/>
        </w:rPr>
        <w:t xml:space="preserve">General Principles</w:t>
      </w:r>
    </w:p>
    <w:p>
      <w:pPr>
        <w:numPr>
          <w:ilvl w:val="1"/>
          <w:numId w:val="1"/>
        </w:numPr>
      </w:pPr>
      <w:r>
        <w:t xml:space="preserve">Storage:</w:t>
      </w:r>
    </w:p>
    <w:p>
      <w:pPr>
        <w:numPr>
          <w:ilvl w:val="2"/>
          <w:numId w:val="1"/>
        </w:numPr>
      </w:pPr>
      <w:r>
        <w:t xml:space="preserve">A document should not be stored on paper and electronically at once.</w:t>
      </w:r>
    </w:p>
    <w:p>
      <w:pPr>
        <w:numPr>
          <w:ilvl w:val="2"/>
          <w:numId w:val="1"/>
        </w:numPr>
      </w:pPr>
      <w:r>
        <w:t xml:space="preserve">Speciﬁc retention periods are set in the schedule.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abstractNum w:abstractNumId="1">
    <w:multiLevelType w:val="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</w:abstractNum>
  <w:abstractNum w:abstractNumId="2">
    <w:multiLevelType w:val="multilevel"/>
    <w:lvl w:ilvl="0">
      <w:start w:val="1"/>
      <w:numFmt w:val="decimal"/>
      <w:lvlText w:val="%1."/>
      <w:lvlJc w:val="left"/>
    </w:lvl>
  </w:abstractNum>
  <w:abstractNum w:abstractNumId="90">
    <w:multiLevelType w:val="multilevel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</w:lvl>
  </w:abstractNum>
  <w:num w:numId="1">
    <w:abstractNumId w:val="1"/>
  </w:num>
  <w:num w:numId="2">
    <w:abstractNumId w:val="2"/>
  </w:num>
  <w:num w:numId="90">
    <w:abstractNumId w:val="90"/>
  </w:num>
</w:numbering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bCs/>
      <w:sz w:val="56"/>
      <w:szCs w:val="56"/>
    </w:rPr>
  </w:style>
  <w:style w:type="paragraph" w:styleId="Heading1">
    <w:name w:val="heading 1"/>
    <w:basedOn w:val="Normal"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pPr>
      <w:keepNext/>
      <w:outlineLvl w:val="2"/>
    </w:pPr>
    <w:rPr>
      <w:b/>
      <w:bCs/>
    </w:rPr>
  </w:style>
  <w:style w:type="paragraph" w:styleId="ListParagraph">
    <w:name w:val="List Paragraph"/>
    <w:basedOn w:val="Normal"/>
    <w:pPr>
      <w:ind w:left="720"/>
    </w:pPr>
  </w:style>
  <w:style w:type="paragraph" w:styleId="TOCHeading">
    <w:name w:val="TOC Heading"/>
    <w:basedOn w:val="Heading1"/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90" Type="http://schemas.openxmlformats.org/officeDocument/2006/relationships/hyperlink" Target="https://example.org/" TargetMode="External"/></Relationships>
</file>