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body>
    <w:p>
      <w:r>
        <mc:AlternateContent>
          <mc:Choice Requires="wps">
            <w:drawing>
              <wps:wsp>
                <wps:txbx>
                  <w:txbxContent>
                    <w:p>
                      <w:pPr>
                        <w:bidi/>
                      </w:pPr>
                      <w:r>
                        <w:rPr>
                          <w:rtl/>
                        </w:rPr>
                        <w:t xml:space="preserve">أدخل شعار الجهة هنا.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pPr>
                        <w:bidi/>
                      </w:pPr>
                      <w:r>
                        <w:rPr>
                          <w:rtl/>
                        </w:rPr>
                        <w:t xml:space="preserve">أدخل شعار الجهة هنا.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/>
        <w:jc w:val="center"/>
      </w:pPr>
      <w:r>
        <w:rPr>
          <w:sz w:val="60"/>
          <w:szCs w:val="60"/>
          <w:rtl/>
        </w:rPr>
        <w:t xml:space="preserve">سياسة الأمن السيبراني للبيانات</w:t>
      </w:r>
    </w:p>
    <w:tbl>
      <w:tblPr>
        <w:tblW w:w="0" w:type="auto"/>
      </w:tblPr>
      <w:tblGrid>
        <w:gridCol w:w="4000"/>
        <w:gridCol w:w="4000"/>
      </w:tblGrid>
      <w:tr>
        <w:tc>
          <w:tcPr>
            <w:tcW w:w="0" w:type="auto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الدور</w:t>
            </w:r>
          </w:p>
        </w:tc>
        <w:tc>
          <w:tcPr>
            <w:tcW w:w="0" w:type="auto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الاسم</w:t>
            </w:r>
          </w:p>
        </w:tc>
      </w:tr>
      <w:tr>
        <w:tc>
          <w:tcPr>
            <w:tcW w:w="0" w:type="auto"/>
          </w:tcPr>
          <w:p>
            <w:pPr>
              <w:bidi/>
            </w:pPr>
            <w:r>
              <w:rPr>
                <w:rtl/>
              </w:rPr>
              <w:t xml:space="preserve">إعداد</w:t>
            </w:r>
          </w:p>
        </w:tc>
        <w:tc>
          <w:tcPr>
            <w:tcW w:w="0" w:type="auto"/>
          </w:tcPr>
          <w:p>
            <w:pPr>
              <w:bidi/>
            </w:pPr>
            <w:r>
              <w:rPr>
                <w:rtl/>
              </w:rPr>
              <w:t xml:space="preserve">&lt;اسم الموظف&gt;</w:t>
            </w:r>
          </w:p>
        </w:tc>
      </w:tr>
    </w:tbl>
    <w:p>
      <w:pPr>
        <w:pStyle w:val="Heading1"/>
        <w:bidi/>
      </w:pPr>
      <w:r>
        <w:rPr>
          <w:rtl/>
        </w:rPr>
        <w:t xml:space="preserve">الغرض</w:t>
      </w:r>
    </w:p>
    <w:p>
      <w:pPr>
        <w:bidi/>
      </w:pPr>
      <w:r>
        <w:rPr>
          <w:rtl/>
        </w:rPr>
        <w:t xml:space="preserve">تحدد هذه السياسة متطلبات حماية البيانات في &lt;اسم الجهة&gt;.</w:t>
      </w:r>
    </w:p>
    <w:p>
      <w:pPr>
        <w:pStyle w:val="Heading1"/>
        <w:bidi/>
      </w:pPr>
      <w:r>
        <w:rPr>
          <w:rtl/>
        </w:rPr>
        <w:t xml:space="preserve">بنود السياسة</w:t>
      </w:r>
    </w:p>
    <w:p>
      <w:pPr>
        <w:numPr>
          <w:ilvl w:val="0"/>
          <w:numId w:val="10"/>
        </w:numPr>
        <w:bidi/>
      </w:pPr>
      <w:r>
        <w:rPr>
          <w:b/>
          <w:bCs/>
          <w:rtl/>
        </w:rPr>
        <w:t xml:space="preserve">البنود العامة</w:t>
      </w:r>
    </w:p>
    <w:p>
      <w:pPr>
        <w:numPr>
          <w:ilvl w:val="1"/>
          <w:numId w:val="10"/>
        </w:numPr>
        <w:bidi/>
      </w:pPr>
      <w:r>
        <w:rPr>
          <w:rtl/>
        </w:rPr>
        <w:t xml:space="preserve">يجب أن تلتزم &lt;اسم الجهة&gt; بالمتطلبات التشريعية.</w:t>
      </w:r>
    </w:p>
    <w:p>
      <w:pPr>
        <w:numPr>
          <w:ilvl w:val="1"/>
          <w:numId w:val="10"/>
        </w:numPr>
        <w:bidi/>
      </w:pPr>
      <w:r>
        <w:rPr>
          <w:rtl/>
        </w:rPr>
        <w:t xml:space="preserve">يجب تصنيف البيانات في الصيغ التالية:</w:t>
      </w:r>
    </w:p>
    <w:p>
      <w:pPr>
        <w:numPr>
          <w:ilvl w:val="2"/>
          <w:numId w:val="10"/>
        </w:numPr>
        <w:bidi/>
      </w:pPr>
      <w:r>
        <w:rPr>
          <w:rtl/>
        </w:rPr>
        <w:t xml:space="preserve">الصيغ الرقمية.</w:t>
      </w:r>
    </w:p>
    <w:p>
      <w:pPr>
        <w:numPr>
          <w:ilvl w:val="2"/>
          <w:numId w:val="10"/>
        </w:numPr>
        <w:bidi/>
      </w:pPr>
      <w:r>
        <w:rPr>
          <w:rtl/>
        </w:rPr>
        <w:t xml:space="preserve">الصيغ الورقية.</w:t>
      </w:r>
    </w:p>
    <w:p>
      <w:pPr>
        <w:numPr>
          <w:ilvl w:val="0"/>
          <w:numId w:val="10"/>
        </w:numPr>
        <w:bidi/>
      </w:pPr>
      <w:r>
        <w:rPr>
          <w:b/>
          <w:bCs/>
          <w:rtl/>
        </w:rPr>
        <w:t xml:space="preserve">الاحتفاظ بالسجلات</w:t>
      </w:r>
    </w:p>
    <w:p>
      <w:pPr>
        <w:numPr>
          <w:ilvl w:val="0"/>
          <w:numId w:val="12"/>
        </w:numPr>
        <w:bidi/>
      </w:pPr>
      <w:r>
        <w:rPr>
          <w:rtl/>
        </w:rPr>
        <w:t xml:space="preserve">يجب الاحتفاظ بسجل لعمليات الإتلاف.</w:t>
      </w:r>
    </w:p>
    <w:p>
      <w:pPr>
        <w:numPr>
          <w:ilvl w:val="0"/>
          <w:numId w:val="13"/>
        </w:numPr>
        <w:bidi/>
      </w:pPr>
      <w:r>
        <w:rPr>
          <w:rtl/>
        </w:rPr>
        <w:t xml:space="preserve">يجب تحديد مدة الاحتفاظ بالبيانات.</w:t>
      </w:r>
    </w:p>
    <w:p>
      <w:pPr>
        <w:pStyle w:val="Heading1"/>
        <w:bidi/>
      </w:pPr>
      <w:r>
        <w:rPr>
          <w:rtl/>
        </w:rPr>
        <w:t xml:space="preserve">الأدوار والمسؤوليات</w:t>
      </w:r>
    </w:p>
    <w:p>
      <w:pPr>
        <w:numPr>
          <w:ilvl w:val="0"/>
          <w:numId w:val="11"/>
        </w:numPr>
        <w:bidi/>
      </w:pPr>
      <w:r>
        <w:rPr>
          <w:rtl/>
        </w:rPr>
        <w:t xml:space="preserve">مالك السياسة: &lt;رئيس الإدارة المعنية&gt;.</w:t>
      </w:r>
    </w:p>
    <w:p>
      <w:pPr>
        <w:numPr>
          <w:ilvl w:val="0"/>
          <w:numId w:val="11"/>
        </w:numPr>
        <w:bidi/>
      </w:pPr>
      <w:r>
        <w:rPr>
          <w:rtl/>
        </w:rPr>
        <w:t xml:space="preserve">تطبيق السياسة: &lt;الإدارة المعنية&gt;.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abstractNum w:abstractNumId="10">
    <w:multiLevelType w:val="multilevel"/>
    <w:lvl w:ilvl="0">
      <w:start w:val="1"/>
      <w:numFmt w:val="decimal"/>
      <w:lvlText w:val="%1-"/>
      <w:lvlJc w:val="left"/>
    </w:lvl>
    <w:lvl w:ilvl="1">
      <w:start w:val="1"/>
      <w:numFmt w:val="decimal"/>
      <w:lvlText w:val="%1-%2"/>
      <w:lvlJc w:val="left"/>
    </w:lvl>
    <w:lvl w:ilvl="2">
      <w:start w:val="1"/>
      <w:numFmt w:val="decimal"/>
      <w:lvlText w:val="%1-%2-%3"/>
      <w:lvlJc w:val="left"/>
    </w:lvl>
  </w:abstractNum>
  <w:abstractNum w:abstractNumId="11">
    <w:multiLevelType w:val="multilevel"/>
    <w:lvl w:ilvl="0">
      <w:start w:val="1"/>
      <w:numFmt w:val="none"/>
      <w:lvlText w:val="2-1"/>
      <w:lvlJc w:val="left"/>
    </w:lvl>
  </w:abstractNum>
  <w:abstractNum w:abstractNumId="12">
    <w:multiLevelType w:val="multilevel"/>
    <w:lvl w:ilvl="0">
      <w:start w:val="1"/>
      <w:numFmt w:val="none"/>
      <w:lvlText w:val="2-2"/>
      <w:lvlJc w:val="left"/>
    </w:lvl>
  </w:abstractNum>
  <w:num w:numId="10">
    <w:abstractNumId w:val="10"/>
  </w:num>
  <w:num w:numId="11">
    <w:abstractNumId w:val="10"/>
    <w:lvlOverride w:ilvl="0">
      <w:startOverride w:val="1"/>
    </w:lvlOverride>
  </w:num>
  <w:num w:numId="12">
    <w:abstractNumId w:val="11"/>
  </w:num>
  <w:num w:numId="13">
    <w:abstractNumId w:val="12"/>
  </w:num>
</w:numbering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 mc:Ignorable="wps">
  <w:docDefaults>
    <w:rPrDefault>
      <w:rPr>
        <w:sz w:val="22"/>
        <w:szCs w:val="22"/>
      </w:rPr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bCs/>
      <w:sz w:val="56"/>
      <w:szCs w:val="56"/>
    </w:rPr>
  </w:style>
  <w:style w:type="paragraph" w:styleId="Heading1">
    <w:name w:val="heading 1"/>
    <w:basedOn w:val="Normal"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pPr>
      <w:keepNext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pPr>
      <w:keepNext/>
      <w:outlineLvl w:val="2"/>
    </w:pPr>
    <w:rPr>
      <w:b/>
      <w:bCs/>
    </w:rPr>
  </w:style>
  <w:style w:type="paragraph" w:styleId="ListParagraph">
    <w:name w:val="List Paragraph"/>
    <w:basedOn w:val="Normal"/>
    <w:pPr>
      <w:ind w:left="720"/>
    </w:pPr>
  </w:style>
  <w:style w:type="paragraph" w:styleId="TOCHeading">
    <w:name w:val="TOC Heading"/>
    <w:basedOn w:val="Heading1"/>
  </w:style>
  <w:style w:type="paragraph" w:styleId="TOC1">
    <w:name w:val="toc 1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90" Type="http://schemas.openxmlformats.org/officeDocument/2006/relationships/hyperlink" Target="https://example.org/" TargetMode="External"/></Relationships>
</file>