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jc w:val="center"/>
      </w:pPr>
      <w:r>
        <w:rPr>
          <w:b/>
          <w:bCs/>
        </w:rPr>
        <w:t xml:space="preserve">THE COUNCIL</w:t>
      </w:r>
    </w:p>
    <w:p>
      <w:pPr>
        <w:pStyle w:val="Heading1"/>
        <w:jc w:val="center"/>
      </w:pPr>
      <w:r>
        <w:t xml:space="preserve">Data Protection Policy</w:t>
      </w:r>
    </w:p>
    <w:p>
      <w:pPr>
        <w:pStyle w:val="Heading2"/>
      </w:pPr>
      <w:r>
        <w:t xml:space="preserve">Purpose of the policy</w:t>
      </w:r>
    </w:p>
    <w:p>
      <w:pPr/>
      <w:r>
        <w:t xml:space="preserve">This policy explains to councillors, staff and the public how the Council looks after personal data.</w:t>
      </w:r>
    </w:p>
    <w:p>
      <w:pPr/>
      <w:r>
        <w:t xml:space="preserve">It applies to all personal data the Council holds, on paper or electronically.</w:t>
      </w:r>
    </w:p>
    <w:p>
      <w:pPr>
        <w:pStyle w:val="Heading2"/>
      </w:pPr>
      <w:r>
        <w:t xml:space="preserve">Individuals’ rights</w:t>
      </w:r>
    </w:p>
    <w:p>
      <w:pPr/>
      <w:r>
        <w:t xml:space="preserve">The law gives individuals these rights:</w:t>
      </w:r>
    </w:p>
    <w:p>
      <w:pPr>
        <w:numPr>
          <w:ilvl w:val="0"/>
          <w:numId w:val="90"/>
        </w:numPr>
      </w:pPr>
      <w:r>
        <w:t xml:space="preserve">the right to be informed</w:t>
      </w:r>
    </w:p>
    <w:p>
      <w:pPr>
        <w:numPr>
          <w:ilvl w:val="0"/>
          <w:numId w:val="90"/>
        </w:numPr>
      </w:pPr>
      <w:r>
        <w:t xml:space="preserve">the right of access</w:t>
      </w:r>
    </w:p>
    <w:p>
      <w:pPr>
        <w:numPr>
          <w:ilvl w:val="0"/>
          <w:numId w:val="90"/>
        </w:numPr>
      </w:pPr>
      <w:r>
        <w:t xml:space="preserve">the right to erasure</w:t>
      </w:r>
    </w:p>
    <w:p>
      <w:pPr>
        <w:pStyle w:val="Heading2"/>
      </w:pPr>
      <w:r>
        <w:t xml:space="preserve">The Clerk keeps a record of every request received and how it was answered, for at least three years.</w:t>
      </w:r>
    </w:p>
    <w:p>
      <w:pPr>
        <w:pStyle w:val="Heading2"/>
      </w:pPr>
      <w:r>
        <w:t xml:space="preserve">Data breaches</w:t>
      </w:r>
    </w:p>
    <w:p>
      <w:pPr/>
      <w:r>
        <w:t xml:space="preserve">The Clerk investigates every data breach within 72 hours.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abstractNum w:abstractNumId="90">
    <w:multiLevelType w:val="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</w:abstractNum>
  <w:num w:numId="90">
    <w:abstractNumId w:val="90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90" Type="http://schemas.openxmlformats.org/officeDocument/2006/relationships/hyperlink" Target="https://example.org/" TargetMode="External"/></Relationships>
</file>