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pStyle w:val="Heading1"/>
        <w:bidi/>
      </w:pPr>
      <w:r>
        <w:rPr>
          <w:rtl/>
        </w:rPr>
        <w:t xml:space="preserve">المعايير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0" w:type="auto"/>
          </w:tcPr>
          <w:p>
            <w:pPr>
              <w:numPr>
                <w:ilvl w:val="0"/>
                <w:numId w:val="20"/>
              </w:numPr>
              <w:bidi/>
            </w:pPr>
          </w:p>
        </w:tc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إدارة هويات الدخول والصلاحيات</w:t>
            </w:r>
          </w:p>
        </w:tc>
      </w:tr>
      <w:tr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الهدف</w:t>
            </w:r>
          </w:p>
        </w:tc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ضمان الوصول المصرح به فقط.</w:t>
            </w:r>
          </w:p>
        </w:tc>
      </w:tr>
      <w:tr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المخاطر المحتملة</w:t>
            </w:r>
          </w:p>
        </w:tc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وصول غير مصرح به.</w:t>
            </w:r>
          </w:p>
        </w:tc>
      </w:tr>
      <w:tr>
        <w:tc>
          <w:tcPr>
            <w:tcW w:w="0" w:type="auto"/>
            <w:gridSpan w:val="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الإجراءات المطلوبة</w:t>
            </w:r>
          </w:p>
        </w:tc>
      </w:tr>
    </w:tbl>
    <w:tbl>
      <w:tblPr>
        <w:tblW w:w="0" w:type="auto"/>
      </w:tblPr>
      <w:tblGrid>
        <w:gridCol w:w="4000"/>
        <w:gridCol w:w="4000"/>
      </w:tblGrid>
      <w:tr>
        <w:tc>
          <w:tcPr>
            <w:tcW w:w="0" w:type="auto"/>
          </w:tcPr>
          <w:p>
            <w:pPr>
              <w:numPr>
                <w:ilvl w:val="0"/>
                <w:numId w:val="21"/>
              </w:numPr>
              <w:bidi/>
            </w:pPr>
          </w:p>
        </w:tc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أن تستند الصلاحيات إلى مبدأ الحاجة إلى المعرفة.</w:t>
            </w:r>
          </w:p>
        </w:tc>
      </w:tr>
      <w:tr>
        <w:tc>
          <w:tcPr>
            <w:tcW w:w="0" w:type="auto"/>
          </w:tcPr>
          <w:p>
            <w:pPr>
              <w:numPr>
                <w:ilvl w:val="0"/>
                <w:numId w:val="21"/>
              </w:numPr>
              <w:bidi/>
            </w:pPr>
          </w:p>
        </w:tc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مراجعة حقوق الوصول دوريًا.</w:t>
            </w:r>
          </w:p>
        </w:tc>
      </w:tr>
      <w:tr>
        <w:tc>
          <w:tcPr>
            <w:tcW w:w="0" w:type="auto"/>
          </w:tcPr>
          <w:p>
            <w:pPr>
              <w:numPr>
                <w:ilvl w:val="0"/>
                <w:numId w:val="20"/>
              </w:numPr>
              <w:bidi/>
            </w:pPr>
          </w:p>
        </w:tc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تشفير البيانات المنقولة</w:t>
            </w:r>
          </w:p>
        </w:tc>
      </w:tr>
      <w:tr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الهدف</w:t>
            </w:r>
          </w:p>
        </w:tc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حماية البيانات أثناء نقلها.</w:t>
            </w:r>
          </w:p>
        </w:tc>
      </w:tr>
      <w:tr>
        <w:tc>
          <w:tcPr>
            <w:tcW w:w="0" w:type="auto"/>
          </w:tcPr>
          <w:p>
            <w:pPr>
              <w:numPr>
                <w:ilvl w:val="0"/>
                <w:numId w:val="22"/>
              </w:numPr>
              <w:bidi/>
            </w:pPr>
          </w:p>
        </w:tc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استخدام التشفير عند نقل البيانات الحساسة.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abstractNum w:abstractNumId="20">
    <w:multiLevelType w:val="multilevel"/>
    <w:lvl w:ilvl="0">
      <w:start w:val="1"/>
      <w:numFmt w:val="decimal"/>
      <w:lvlText w:val="%1"/>
      <w:lvlJc w:val="left"/>
    </w:lvl>
  </w:abstractNum>
  <w:abstractNum w:abstractNumId="21">
    <w:multiLevelType w:val="multilevel"/>
    <w:lvl w:ilvl="0">
      <w:start w:val="1"/>
      <w:numFmt w:val="decimal"/>
      <w:lvlText w:val="1-%1"/>
      <w:lvlJc w:val="left"/>
    </w:lvl>
  </w:abstractNum>
  <w:abstractNum w:abstractNumId="22">
    <w:multiLevelType w:val="multilevel"/>
    <w:lvl w:ilvl="0">
      <w:start w:val="1"/>
      <w:numFmt w:val="decimal"/>
      <w:lvlText w:val="2-%1"/>
      <w:lvlJc w:val="left"/>
    </w:lvl>
  </w:abstractNum>
  <w:num w:numId="20">
    <w:abstractNumId w:val="20"/>
  </w:num>
  <w:num w:numId="21">
    <w:abstractNumId w:val="21"/>
  </w:num>
  <w:num w:numId="22">
    <w:abstractNumId w:val="22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90" Type="http://schemas.openxmlformats.org/officeDocument/2006/relationships/hyperlink" Target="https://example.org/" TargetMode="External"/></Relationships>
</file>