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pStyle w:val="Heading1"/>
      </w:pPr>
      <w:r>
        <w:t xml:space="preserve">Our procedures</w:t>
      </w:r>
    </w:p>
    <w:p>
      <w:pPr/>
      <w:r>
        <w:rPr>
          <w:sz w:val="32"/>
          <w:szCs w:val="32"/>
        </w:rPr>
        <w:t xml:space="preserve">Fair and lawful processing</w:t>
      </w:r>
    </w:p>
    <w:p>
      <w:pPr>
        <w:pStyle w:val="NumberedBody"/>
      </w:pPr>
      <w:r>
        <w:t xml:space="preserve">We process personal data fairly and lawfully, in line with individuals' rights.</w:t>
      </w:r>
    </w:p>
    <w:p>
      <w:pPr/>
      <w:r>
        <w:rPr>
          <w:b/>
          <w:bCs/>
        </w:rPr>
        <w:t xml:space="preserve">Who is responsible for this policy?</w:t>
      </w:r>
    </w:p>
    <w:p>
      <w:pPr/>
      <w:r>
        <w:t xml:space="preserve">The Clerk is responsible for this policy and its review.</w:t>
      </w:r>
    </w:p>
    <w:p>
      <w:pPr/>
      <w:r>
        <w:rPr>
          <w:sz w:val="32"/>
          <w:szCs w:val="32"/>
        </w:rPr>
        <w:t xml:space="preserve">Data security</w:t>
      </w:r>
    </w:p>
    <w:p>
      <w:pPr>
        <w:pStyle w:val="NumberedBody"/>
      </w:pPr>
      <w:r>
        <w:t xml:space="preserve">We keep personal data secure against loss or misuse.</w:t>
      </w:r>
    </w:p>
    <w:p>
      <w:pPr>
        <w:pStyle w:val="Heading1"/>
      </w:pPr>
      <w:r>
        <w:t xml:space="preserve">Review</w:t>
      </w:r>
    </w:p>
    <w:p>
      <w:pPr/>
      <w:r>
        <w:t xml:space="preserve">The Council reviews this policy every two years.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  <w:style w:type="paragraph" w:customStyle="1" w:styleId="NumberedBody">
    <w:name w:val="Numbered Body"/>
    <w:basedOn w:val="Normal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90" Type="http://schemas.openxmlformats.org/officeDocument/2006/relationships/hyperlink" Target="https://example.org/" TargetMode="External"/></Relationships>
</file>