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pPr>
        <w:jc w:val="center"/>
      </w:pPr>
      <w:r>
        <w:rPr>
          <w:b/>
          <w:bCs/>
          <w:sz w:val="52"/>
          <w:szCs w:val="52"/>
        </w:rPr>
        <w:t xml:space="preserve">DATA PROTECTION &amp; PRIVACY POLICY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Policy Owner</w:t>
            </w:r>
          </w:p>
        </w:tc>
        <w:tc>
          <w:tcPr>
            <w:tcW w:w="0" w:type="auto"/>
          </w:tcPr>
          <w:p>
            <w:pPr/>
            <w:r>
              <w:t xml:space="preserve">Office of the Rector</w:t>
            </w:r>
          </w:p>
        </w:tc>
      </w:tr>
      <w:tr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Version</w:t>
            </w:r>
          </w:p>
        </w:tc>
        <w:tc>
          <w:tcPr>
            <w:tcW w:w="0" w:type="auto"/>
          </w:tcPr>
          <w:p>
            <w:pPr/>
            <w:r>
              <w:t xml:space="preserve">1.0</w:t>
            </w:r>
          </w:p>
        </w:tc>
      </w:tr>
    </w:tbl>
    <w:p>
      <w:pPr>
        <w:pStyle w:val="Heading1"/>
      </w:pPr>
      <w:r>
        <w:t xml:space="preserve">1. Introduction</w:t>
      </w:r>
    </w:p>
    <w:p>
      <w:pPr/>
      <w:r>
        <w:t xml:space="preserve">Acme is committed to protecting the privacy of everyone it works with.</w:t>
      </w:r>
    </w:p>
    <w:p>
      <w:pPr>
        <w:pStyle w:val="Heading1"/>
      </w:pPr>
      <w:r>
        <w:t xml:space="preserve">2. Purpose and Scope</w:t>
      </w:r>
    </w:p>
    <w:p>
      <w:pPr>
        <w:pStyle w:val="Heading2"/>
      </w:pPr>
      <w:r>
        <w:t xml:space="preserve">2.1 Purpose</w:t>
      </w:r>
    </w:p>
    <w:p>
      <w:pPr/>
      <w:r>
        <w:t xml:space="preserve">This policy sets out how Acme handles personal data.</w:t>
      </w:r>
    </w:p>
    <w:p>
      <w:pPr>
        <w:pStyle w:val="Heading2"/>
      </w:pPr>
      <w:r>
        <w:t xml:space="preserve">2.2 Scope</w:t>
      </w:r>
    </w:p>
    <w:p>
      <w:pPr/>
      <w:r>
        <w:t xml:space="preserve">It applies to all employees and contractors.</w:t>
      </w:r>
    </w:p>
    <w:p>
      <w:pPr>
        <w:pStyle w:val="Heading1"/>
      </w:pPr>
      <w:r>
        <w:t xml:space="preserve">3. Key Definitions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Term</w:t>
            </w:r>
          </w:p>
        </w:tc>
        <w:tc>
          <w:tcPr>
            <w:tcW w:w="0" w:type="auto"/>
          </w:tcPr>
          <w:p>
            <w:pPr/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w="0" w:type="auto"/>
          </w:tcPr>
          <w:p>
            <w:pPr/>
            <w:r>
              <w:t xml:space="preserve">Personal Data</w:t>
            </w:r>
          </w:p>
        </w:tc>
        <w:tc>
          <w:tcPr>
            <w:tcW w:w="0" w:type="auto"/>
          </w:tcPr>
          <w:p>
            <w:pPr/>
            <w:r>
              <w:t xml:space="preserve">Any information relating to an identified person.</w:t>
            </w:r>
          </w:p>
        </w:tc>
      </w:tr>
      <w:tr>
        <w:tc>
          <w:tcPr>
            <w:tcW w:w="0" w:type="auto"/>
          </w:tcPr>
          <w:p>
            <w:pPr/>
            <w:r>
              <w:t xml:space="preserve">Processing</w:t>
            </w:r>
          </w:p>
        </w:tc>
        <w:tc>
          <w:tcPr>
            <w:tcW w:w="0" w:type="auto"/>
          </w:tcPr>
          <w:p>
            <w:pPr/>
            <w:r>
              <w:t xml:space="preserve">Any operation performed on data.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hyperlink" Target="https://example.org/" TargetMode="External"/></Relationships>
</file>