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возвратов</w:t>
      </w:r>
    </w:p>
    <w:p>
      <w:r>
        <w:t>Версия 2.1 — март 2026</w:t>
      </w:r>
    </w:p>
    <w:p>
      <w:pPr>
        <w:pStyle w:val="Heading1"/>
      </w:pPr>
      <w:r>
        <w:t>1. Общие условия</w:t>
      </w:r>
    </w:p>
    <w:p>
      <w:r>
        <w:t>Клиент вправе вернуть товар в течение 14 дней с момента получения без объяснения причин при условии сохранности товарного вида.</w:t>
      </w:r>
    </w:p>
    <w:p>
      <w:pPr>
        <w:pStyle w:val="Heading1"/>
      </w:pPr>
      <w:r>
        <w:t>2. Порядок оформления</w:t>
      </w:r>
    </w:p>
    <w:p>
      <w:r>
        <w:rPr>
          <w:b/>
        </w:rPr>
        <w:t xml:space="preserve">Шаг 1. </w:t>
      </w:r>
      <w:r>
        <w:t>Обратитесь в службу поддержки через личный кабинет.</w:t>
      </w:r>
    </w:p>
    <w:p>
      <w:r>
        <w:rPr>
          <w:b/>
        </w:rPr>
        <w:t xml:space="preserve">Шаг 2. </w:t>
      </w:r>
      <w:r>
        <w:t>Укажите номер заказа и причину возврата.</w:t>
      </w:r>
    </w:p>
    <w:p>
      <w:r>
        <w:rPr>
          <w:b/>
        </w:rPr>
        <w:t xml:space="preserve">Шаг 3. </w:t>
      </w:r>
      <w:r>
        <w:t>Получите подтверждение и инструкцию по отправке.</w:t>
      </w:r>
    </w:p>
    <w:p>
      <w:pPr>
        <w:pStyle w:val="Heading1"/>
      </w:pPr>
      <w:r>
        <w:t>3. Сроки</w:t>
      </w:r>
    </w:p>
    <w:p>
      <w:r>
        <w:t>Средства возвращаются в течение 5 рабочих дней.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