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6120D">
      <w:pPr>
        <w:pStyle w:val="7"/>
        <w:spacing w:after="62" w:afterLines="20"/>
        <w:ind w:left="6349" w:leftChars="2166" w:hanging="1800" w:hangingChars="750"/>
        <w:rPr>
          <w:rFonts w:ascii="黑体" w:eastAsia="黑体"/>
          <w:b/>
          <w:szCs w:val="20"/>
        </w:rPr>
      </w:pPr>
      <w:bookmarkStart w:id="0" w:name="_Toc18737"/>
      <w:bookmarkStart w:id="1" w:name="_Toc17461"/>
      <w:bookmarkStart w:id="2" w:name="_Toc11900"/>
      <w:bookmarkStart w:id="3" w:name="_Toc21174"/>
      <w:bookmarkStart w:id="4" w:name="_Toc29379"/>
      <w:bookmarkStart w:id="5" w:name="_Toc2101"/>
      <w:r>
        <w:rPr>
          <w:rFonts w:hint="eastAsia" w:ascii="黑体" w:eastAsia="黑体"/>
        </w:rPr>
        <w:t xml:space="preserve">                                                  </w:t>
      </w:r>
      <w:bookmarkStart w:id="6" w:name="_Toc187412420"/>
      <w:r>
        <w:rPr>
          <w:rFonts w:hint="eastAsia" w:ascii="黑体" w:eastAsia="黑体"/>
          <w:b/>
        </w:rPr>
        <w:t>密级：</w:t>
      </w:r>
    </w:p>
    <w:p w14:paraId="0B8626F1">
      <w:pPr>
        <w:pStyle w:val="7"/>
        <w:spacing w:after="62" w:afterLines="20"/>
        <w:ind w:left="3610" w:leftChars="1719"/>
        <w:rPr>
          <w:rFonts w:ascii="黑体" w:eastAsia="黑体"/>
          <w:b/>
        </w:rPr>
      </w:pPr>
      <w:r>
        <w:t xml:space="preserve">                     </w:t>
      </w:r>
      <w:r>
        <w:rPr>
          <w:rFonts w:hint="eastAsia"/>
        </w:rPr>
        <w:t xml:space="preserve"> </w:t>
      </w:r>
      <w:r>
        <w:t xml:space="preserve"> </w:t>
      </w:r>
      <w:r>
        <w:rPr>
          <w:rFonts w:hint="eastAsia" w:ascii="黑体" w:eastAsia="黑体"/>
          <w:b/>
        </w:rPr>
        <w:t>学号：</w:t>
      </w:r>
    </w:p>
    <w:p w14:paraId="6EC7AE8D">
      <w:pPr>
        <w:rPr>
          <w:rFonts w:ascii="宋体" w:hAnsi="宋体"/>
          <w:b/>
          <w:sz w:val="44"/>
        </w:rPr>
      </w:pPr>
    </w:p>
    <w:p w14:paraId="120F2213">
      <w:pPr>
        <w:jc w:val="center"/>
      </w:pPr>
      <w:r>
        <w:drawing>
          <wp:inline distT="0" distB="0" distL="0" distR="0">
            <wp:extent cx="4769485" cy="951230"/>
            <wp:effectExtent l="0" t="0" r="5715" b="13970"/>
            <wp:docPr id="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4"/>
                    <pic:cNvPicPr>
                      <a:picLocks noChangeAspect="1" noChangeArrowheads="1"/>
                    </pic:cNvPicPr>
                  </pic:nvPicPr>
                  <pic:blipFill>
                    <a:blip r:embed="rId8"/>
                    <a:srcRect/>
                    <a:stretch>
                      <a:fillRect/>
                    </a:stretch>
                  </pic:blipFill>
                  <pic:spPr>
                    <a:xfrm>
                      <a:off x="0" y="0"/>
                      <a:ext cx="4769485" cy="951230"/>
                    </a:xfrm>
                    <a:prstGeom prst="rect">
                      <a:avLst/>
                    </a:prstGeom>
                    <a:noFill/>
                    <a:ln>
                      <a:noFill/>
                    </a:ln>
                  </pic:spPr>
                </pic:pic>
              </a:graphicData>
            </a:graphic>
          </wp:inline>
        </w:drawing>
      </w:r>
    </w:p>
    <w:p w14:paraId="6E10B654">
      <w:pPr>
        <w:jc w:val="center"/>
      </w:pPr>
    </w:p>
    <w:p w14:paraId="314BCD6B"/>
    <w:p w14:paraId="74E479AB"/>
    <w:p w14:paraId="518785C8"/>
    <w:p w14:paraId="6DCB14DF">
      <w:pPr>
        <w:jc w:val="center"/>
        <w:rPr>
          <w:rFonts w:ascii="黑体" w:hAnsi="宋体" w:eastAsia="黑体"/>
          <w:b/>
          <w:spacing w:val="60"/>
          <w:sz w:val="52"/>
          <w:szCs w:val="52"/>
        </w:rPr>
      </w:pPr>
      <w:r>
        <w:rPr>
          <w:rFonts w:hint="eastAsia" w:ascii="黑体" w:hAnsi="宋体" w:eastAsia="黑体"/>
          <w:b/>
          <w:spacing w:val="60"/>
          <w:sz w:val="52"/>
          <w:szCs w:val="52"/>
        </w:rPr>
        <w:t xml:space="preserve">  本科生毕业论文（设计）</w:t>
      </w:r>
    </w:p>
    <w:p w14:paraId="52EC00C2">
      <w:pPr>
        <w:pStyle w:val="4"/>
        <w:widowControl/>
        <w:spacing w:before="152" w:after="160"/>
        <w:jc w:val="left"/>
        <w:rPr>
          <w:rFonts w:ascii="Times New Roman" w:hAnsi="Times New Roman" w:eastAsia="宋体" w:cs="Times New Roman"/>
          <w:sz w:val="21"/>
          <w:szCs w:val="24"/>
        </w:rPr>
      </w:pPr>
    </w:p>
    <w:p w14:paraId="2D92FFAF">
      <w:pPr>
        <w:pStyle w:val="4"/>
        <w:widowControl/>
        <w:spacing w:before="152" w:after="160"/>
        <w:jc w:val="left"/>
        <w:rPr>
          <w:rFonts w:ascii="Times New Roman" w:hAnsi="Times New Roman" w:eastAsia="宋体" w:cs="Times New Roman"/>
          <w:sz w:val="21"/>
          <w:szCs w:val="24"/>
        </w:rPr>
      </w:pPr>
    </w:p>
    <w:p w14:paraId="737DC4F8">
      <w:pPr>
        <w:widowControl/>
        <w:jc w:val="center"/>
        <w:rPr>
          <w:rFonts w:hint="eastAsia" w:eastAsia="黑体"/>
          <w:b/>
          <w:bCs/>
          <w:sz w:val="36"/>
          <w:lang w:val="en-US" w:eastAsia="zh-CN"/>
        </w:rPr>
      </w:pPr>
      <w:r>
        <w:rPr>
          <w:rFonts w:hint="eastAsia" w:eastAsia="黑体"/>
          <w:b/>
          <w:bCs/>
          <w:sz w:val="36"/>
          <w:lang w:val="en-US" w:eastAsia="zh-CN"/>
        </w:rPr>
        <w:t>安井食品公司并购新宏业</w:t>
      </w:r>
      <w:r>
        <w:rPr>
          <w:rFonts w:hint="eastAsia" w:eastAsia="黑体"/>
          <w:b/>
          <w:bCs/>
          <w:sz w:val="36"/>
        </w:rPr>
        <w:t>动因及财务绩效</w:t>
      </w:r>
      <w:r>
        <w:rPr>
          <w:rFonts w:hint="eastAsia" w:eastAsia="黑体"/>
          <w:b/>
          <w:bCs/>
          <w:sz w:val="36"/>
          <w:lang w:val="en-US" w:eastAsia="zh-CN"/>
        </w:rPr>
        <w:t>研究</w:t>
      </w:r>
    </w:p>
    <w:p w14:paraId="6F4962F4">
      <w:pPr>
        <w:pStyle w:val="4"/>
        <w:widowControl/>
        <w:spacing w:before="152" w:after="160"/>
        <w:ind w:firstLine="1081" w:firstLineChars="360"/>
        <w:jc w:val="left"/>
        <w:rPr>
          <w:rFonts w:ascii="黑体" w:hAnsi="Arial" w:eastAsia="宋体" w:cs="Times New Roman"/>
          <w:b/>
          <w:sz w:val="30"/>
        </w:rPr>
      </w:pPr>
    </w:p>
    <w:p w14:paraId="2546BFF8">
      <w:pPr>
        <w:snapToGrid w:val="0"/>
        <w:spacing w:line="700" w:lineRule="exact"/>
        <w:ind w:firstLine="1201" w:firstLineChars="400"/>
        <w:rPr>
          <w:rFonts w:ascii="宋体" w:hAnsi="宋体"/>
          <w:b/>
          <w:sz w:val="30"/>
          <w:szCs w:val="20"/>
          <w:u w:val="single"/>
        </w:rPr>
      </w:pPr>
      <w:r>
        <w:rPr>
          <w:rFonts w:hint="eastAsia" w:ascii="宋体" w:hAnsi="宋体"/>
          <w:b/>
          <w:sz w:val="30"/>
          <w:szCs w:val="20"/>
        </w:rPr>
        <w:t>学    院：</w:t>
      </w:r>
      <w:r>
        <w:rPr>
          <w:rFonts w:hint="eastAsia" w:ascii="宋体" w:hAnsi="宋体"/>
          <w:b/>
          <w:sz w:val="30"/>
          <w:szCs w:val="20"/>
          <w:u w:val="single"/>
        </w:rPr>
        <w:t xml:space="preserve">            经济管理学院           </w:t>
      </w:r>
    </w:p>
    <w:p w14:paraId="667FEE04">
      <w:pPr>
        <w:snapToGrid w:val="0"/>
        <w:spacing w:line="700" w:lineRule="exact"/>
        <w:ind w:firstLine="1201" w:firstLineChars="400"/>
        <w:rPr>
          <w:rFonts w:ascii="宋体" w:hAnsi="宋体"/>
          <w:b/>
          <w:sz w:val="30"/>
          <w:szCs w:val="20"/>
        </w:rPr>
      </w:pPr>
      <w:r>
        <w:rPr>
          <w:rFonts w:hint="eastAsia" w:ascii="宋体" w:hAnsi="宋体"/>
          <w:b/>
          <w:sz w:val="30"/>
          <w:szCs w:val="20"/>
        </w:rPr>
        <w:t>专    业：</w:t>
      </w:r>
      <w:r>
        <w:rPr>
          <w:rFonts w:hint="eastAsia" w:ascii="宋体" w:hAnsi="宋体"/>
          <w:b/>
          <w:sz w:val="30"/>
          <w:szCs w:val="20"/>
          <w:u w:val="single"/>
        </w:rPr>
        <w:t xml:space="preserve">             会计学                </w:t>
      </w:r>
    </w:p>
    <w:p w14:paraId="48105F17">
      <w:pPr>
        <w:snapToGrid w:val="0"/>
        <w:spacing w:line="700" w:lineRule="exact"/>
        <w:ind w:firstLine="1201" w:firstLineChars="400"/>
        <w:rPr>
          <w:rFonts w:ascii="宋体" w:hAnsi="宋体"/>
          <w:b/>
          <w:sz w:val="30"/>
          <w:szCs w:val="20"/>
          <w:u w:val="single"/>
        </w:rPr>
      </w:pPr>
      <w:r>
        <w:rPr>
          <w:rFonts w:hint="eastAsia" w:ascii="宋体" w:hAnsi="宋体"/>
          <w:b/>
          <w:sz w:val="30"/>
          <w:szCs w:val="20"/>
        </w:rPr>
        <w:t>班    级：</w:t>
      </w:r>
      <w:r>
        <w:rPr>
          <w:rFonts w:hint="eastAsia" w:ascii="宋体" w:hAnsi="宋体"/>
          <w:b/>
          <w:sz w:val="30"/>
          <w:szCs w:val="20"/>
          <w:u w:val="single"/>
        </w:rPr>
        <w:t xml:space="preserve">            2</w:t>
      </w:r>
      <w:r>
        <w:rPr>
          <w:rFonts w:hint="eastAsia" w:ascii="宋体" w:hAnsi="宋体"/>
          <w:b/>
          <w:sz w:val="30"/>
          <w:szCs w:val="20"/>
          <w:u w:val="single"/>
          <w:lang w:val="en-US" w:eastAsia="zh-CN"/>
        </w:rPr>
        <w:t>2</w:t>
      </w:r>
      <w:r>
        <w:rPr>
          <w:rFonts w:hint="eastAsia" w:ascii="宋体" w:hAnsi="宋体"/>
          <w:b/>
          <w:sz w:val="30"/>
          <w:szCs w:val="20"/>
          <w:u w:val="single"/>
        </w:rPr>
        <w:t>本会计</w:t>
      </w:r>
      <w:r>
        <w:rPr>
          <w:rFonts w:hint="eastAsia" w:ascii="宋体" w:hAnsi="宋体"/>
          <w:b/>
          <w:sz w:val="30"/>
          <w:szCs w:val="20"/>
          <w:u w:val="single"/>
          <w:lang w:val="en-US" w:eastAsia="zh-CN"/>
        </w:rPr>
        <w:t>2</w:t>
      </w:r>
      <w:r>
        <w:rPr>
          <w:rFonts w:hint="eastAsia" w:ascii="宋体" w:hAnsi="宋体"/>
          <w:b/>
          <w:sz w:val="30"/>
          <w:szCs w:val="20"/>
          <w:u w:val="single"/>
        </w:rPr>
        <w:t xml:space="preserve">班               </w:t>
      </w:r>
    </w:p>
    <w:p w14:paraId="17E90500">
      <w:pPr>
        <w:snapToGrid w:val="0"/>
        <w:spacing w:line="700" w:lineRule="exact"/>
        <w:ind w:firstLine="1201" w:firstLineChars="400"/>
        <w:rPr>
          <w:rFonts w:ascii="宋体" w:hAnsi="宋体"/>
          <w:b/>
          <w:sz w:val="30"/>
          <w:szCs w:val="20"/>
          <w:u w:val="single"/>
        </w:rPr>
      </w:pPr>
      <w:r>
        <w:rPr>
          <w:rFonts w:hint="eastAsia" w:ascii="宋体" w:hAnsi="宋体"/>
          <w:b/>
          <w:sz w:val="30"/>
          <w:szCs w:val="20"/>
        </w:rPr>
        <w:t>学    号：</w:t>
      </w:r>
      <w:r>
        <w:rPr>
          <w:rFonts w:hint="eastAsia" w:ascii="宋体" w:hAnsi="宋体"/>
          <w:b/>
          <w:sz w:val="30"/>
          <w:szCs w:val="20"/>
          <w:u w:val="single"/>
        </w:rPr>
        <w:t xml:space="preserve">   </w:t>
      </w:r>
      <w:r>
        <w:rPr>
          <w:rFonts w:hint="eastAsia" w:ascii="宋体" w:hAnsi="宋体"/>
          <w:b/>
          <w:sz w:val="30"/>
          <w:szCs w:val="20"/>
          <w:u w:val="single"/>
          <w:lang w:val="en-US" w:eastAsia="zh-CN"/>
        </w:rPr>
        <w:t>202299008892</w:t>
      </w:r>
      <w:r>
        <w:rPr>
          <w:rFonts w:hint="eastAsia" w:ascii="宋体" w:hAnsi="宋体"/>
          <w:b/>
          <w:sz w:val="30"/>
          <w:szCs w:val="20"/>
          <w:u w:val="single"/>
        </w:rPr>
        <w:t xml:space="preserve">  </w:t>
      </w:r>
      <w:r>
        <w:rPr>
          <w:rFonts w:hint="eastAsia" w:ascii="宋体" w:hAnsi="宋体"/>
          <w:b/>
          <w:sz w:val="30"/>
          <w:szCs w:val="20"/>
        </w:rPr>
        <w:t>姓   名</w:t>
      </w:r>
      <w:r>
        <w:rPr>
          <w:rFonts w:hint="eastAsia" w:ascii="宋体" w:hAnsi="宋体"/>
          <w:b/>
          <w:sz w:val="30"/>
          <w:szCs w:val="20"/>
          <w:u w:val="single"/>
        </w:rPr>
        <w:t xml:space="preserve">：   </w:t>
      </w:r>
      <w:r>
        <w:rPr>
          <w:rFonts w:hint="eastAsia" w:ascii="宋体" w:hAnsi="宋体"/>
          <w:b/>
          <w:sz w:val="30"/>
          <w:szCs w:val="20"/>
          <w:u w:val="single"/>
          <w:lang w:val="en-US" w:eastAsia="zh-CN"/>
        </w:rPr>
        <w:t>吴宇萍</w:t>
      </w:r>
      <w:r>
        <w:rPr>
          <w:rFonts w:hint="eastAsia" w:ascii="宋体" w:hAnsi="宋体"/>
          <w:b/>
          <w:sz w:val="30"/>
          <w:szCs w:val="20"/>
          <w:u w:val="single"/>
        </w:rPr>
        <w:t xml:space="preserve">              </w:t>
      </w:r>
    </w:p>
    <w:p w14:paraId="4336F495">
      <w:pPr>
        <w:widowControl/>
        <w:snapToGrid w:val="0"/>
        <w:spacing w:line="700" w:lineRule="exact"/>
        <w:ind w:firstLine="1201" w:firstLineChars="400"/>
        <w:rPr>
          <w:rFonts w:ascii="宋体" w:hAnsi="宋体"/>
          <w:b/>
          <w:sz w:val="36"/>
          <w:szCs w:val="36"/>
        </w:rPr>
      </w:pPr>
      <w:r>
        <w:rPr>
          <w:rFonts w:hint="eastAsia" w:ascii="宋体" w:hAnsi="宋体"/>
          <w:b/>
          <w:sz w:val="30"/>
          <w:szCs w:val="20"/>
        </w:rPr>
        <w:t>指导教师1：</w:t>
      </w:r>
      <w:r>
        <w:rPr>
          <w:rFonts w:hint="eastAsia" w:ascii="宋体" w:hAnsi="宋体"/>
          <w:b/>
          <w:sz w:val="30"/>
          <w:szCs w:val="20"/>
          <w:u w:val="single"/>
        </w:rPr>
        <w:t xml:space="preserve">     </w:t>
      </w:r>
      <w:r>
        <w:rPr>
          <w:rFonts w:hint="eastAsia" w:ascii="宋体" w:hAnsi="宋体"/>
          <w:b/>
          <w:sz w:val="30"/>
          <w:szCs w:val="20"/>
          <w:u w:val="single"/>
          <w:lang w:val="en-US" w:eastAsia="zh-CN"/>
        </w:rPr>
        <w:t>官晓风</w:t>
      </w:r>
      <w:r>
        <w:rPr>
          <w:rFonts w:hint="eastAsia" w:ascii="宋体" w:hAnsi="宋体"/>
          <w:b/>
          <w:sz w:val="30"/>
          <w:szCs w:val="20"/>
          <w:u w:val="single"/>
        </w:rPr>
        <w:t xml:space="preserve">    </w:t>
      </w:r>
      <w:r>
        <w:rPr>
          <w:rFonts w:hint="eastAsia" w:ascii="宋体" w:hAnsi="宋体"/>
          <w:b/>
          <w:sz w:val="30"/>
          <w:szCs w:val="20"/>
        </w:rPr>
        <w:t>指导教师</w:t>
      </w:r>
      <w:r>
        <w:rPr>
          <w:rFonts w:ascii="宋体" w:hAnsi="宋体"/>
          <w:b/>
          <w:sz w:val="30"/>
          <w:szCs w:val="20"/>
        </w:rPr>
        <w:t>2</w:t>
      </w:r>
      <w:r>
        <w:rPr>
          <w:rFonts w:hint="eastAsia" w:ascii="宋体" w:hAnsi="宋体"/>
          <w:b/>
          <w:sz w:val="30"/>
          <w:szCs w:val="20"/>
        </w:rPr>
        <w:t>：</w:t>
      </w:r>
      <w:r>
        <w:rPr>
          <w:rFonts w:hint="eastAsia" w:ascii="宋体" w:hAnsi="宋体"/>
          <w:b/>
          <w:sz w:val="30"/>
          <w:szCs w:val="20"/>
          <w:u w:val="single"/>
        </w:rPr>
        <w:t xml:space="preserve">          </w:t>
      </w:r>
    </w:p>
    <w:p w14:paraId="6CD6E090">
      <w:pPr>
        <w:snapToGrid w:val="0"/>
        <w:spacing w:line="700" w:lineRule="exact"/>
        <w:rPr>
          <w:rFonts w:ascii="宋体" w:hAnsi="宋体"/>
          <w:b/>
          <w:sz w:val="36"/>
          <w:szCs w:val="36"/>
        </w:rPr>
      </w:pPr>
    </w:p>
    <w:p w14:paraId="39DD05B0">
      <w:pPr>
        <w:sectPr>
          <w:pgSz w:w="11906" w:h="16838"/>
          <w:pgMar w:top="1440" w:right="1800" w:bottom="1440" w:left="1800" w:header="851" w:footer="992" w:gutter="0"/>
          <w:pgNumType w:fmt="upperRoman" w:start="1"/>
          <w:cols w:space="720" w:num="1"/>
          <w:docGrid w:type="lines" w:linePitch="312" w:charSpace="0"/>
        </w:sectPr>
      </w:pPr>
    </w:p>
    <w:p w14:paraId="294B5809">
      <w:pPr>
        <w:snapToGrid w:val="0"/>
        <w:spacing w:line="700" w:lineRule="exact"/>
        <w:jc w:val="center"/>
        <w:rPr>
          <w:rFonts w:ascii="宋体" w:hAnsi="宋体"/>
          <w:b/>
          <w:sz w:val="36"/>
          <w:szCs w:val="36"/>
        </w:rPr>
      </w:pPr>
      <w:r>
        <w:rPr>
          <w:rFonts w:hint="eastAsia" w:ascii="宋体" w:hAnsi="宋体"/>
          <w:b/>
          <w:sz w:val="36"/>
          <w:szCs w:val="36"/>
        </w:rPr>
        <w:t>学士学位论文原创性声明</w:t>
      </w:r>
    </w:p>
    <w:p w14:paraId="3D0018D6">
      <w:pPr>
        <w:adjustRightInd w:val="0"/>
        <w:snapToGrid w:val="0"/>
        <w:spacing w:line="360" w:lineRule="auto"/>
        <w:ind w:firstLine="200" w:firstLineChars="200"/>
        <w:rPr>
          <w:sz w:val="10"/>
        </w:rPr>
      </w:pPr>
    </w:p>
    <w:p w14:paraId="0819414C">
      <w:pPr>
        <w:spacing w:after="120" w:line="460" w:lineRule="exact"/>
        <w:ind w:left="420" w:leftChars="200" w:firstLine="480"/>
        <w:rPr>
          <w:sz w:val="24"/>
        </w:rPr>
      </w:pPr>
      <w:r>
        <w:rPr>
          <w:rFonts w:hint="eastAsia"/>
          <w:sz w:val="24"/>
        </w:rPr>
        <w:t>本人郑重声明：所呈交的论文（设计）是本人在指导老师的指导下独立进行研究，所取得的研究成果。除了文中特别加以标注引用的内容外，本论文（设计）不包含任何其他个人或集体已经发表或撰写的成果作品。对本文的研究做出重要贡献的个人和集体，均已在文中以明确方式表明。本人完全意识到本声明的法律后果由本人承担。</w:t>
      </w:r>
    </w:p>
    <w:p w14:paraId="4FF4F148">
      <w:pPr>
        <w:spacing w:line="540" w:lineRule="exact"/>
        <w:ind w:firstLine="480" w:firstLineChars="200"/>
        <w:rPr>
          <w:sz w:val="24"/>
        </w:rPr>
      </w:pPr>
    </w:p>
    <w:p w14:paraId="06632407">
      <w:pPr>
        <w:spacing w:line="540" w:lineRule="exact"/>
        <w:ind w:firstLine="480" w:firstLineChars="200"/>
        <w:rPr>
          <w:sz w:val="24"/>
        </w:rPr>
      </w:pPr>
      <w:r>
        <w:rPr>
          <w:rFonts w:hint="eastAsia"/>
          <w:sz w:val="24"/>
        </w:rPr>
        <w:t>学位论文作者签名（手写）：</w:t>
      </w:r>
      <w:r>
        <w:rPr>
          <w:sz w:val="24"/>
        </w:rPr>
        <w:t xml:space="preserve"> </w:t>
      </w:r>
      <w:r>
        <w:rPr>
          <w:rFonts w:eastAsia="黑体"/>
          <w:sz w:val="24"/>
        </w:rPr>
        <w:t xml:space="preserve">          </w:t>
      </w:r>
      <w:r>
        <w:rPr>
          <w:rFonts w:hint="eastAsia"/>
          <w:sz w:val="24"/>
        </w:rPr>
        <w:t>签字日期：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14:paraId="7678ED09">
      <w:pPr>
        <w:rPr>
          <w:sz w:val="24"/>
        </w:rPr>
      </w:pPr>
    </w:p>
    <w:p w14:paraId="4258F698">
      <w:pPr>
        <w:snapToGrid w:val="0"/>
        <w:spacing w:line="400" w:lineRule="exact"/>
        <w:rPr>
          <w:sz w:val="24"/>
          <w:u w:val="single"/>
        </w:rPr>
      </w:pPr>
      <w:r>
        <w:rPr>
          <w:sz w:val="24"/>
          <w:u w:val="single"/>
        </w:rPr>
        <w:t xml:space="preserve">                                                                                    </w:t>
      </w:r>
    </w:p>
    <w:p w14:paraId="5F8B370D">
      <w:pPr>
        <w:snapToGrid w:val="0"/>
        <w:spacing w:before="312" w:beforeLines="100" w:line="700" w:lineRule="exact"/>
        <w:jc w:val="center"/>
        <w:rPr>
          <w:rFonts w:ascii="宋体" w:hAnsi="宋体"/>
          <w:b/>
          <w:sz w:val="36"/>
          <w:szCs w:val="36"/>
        </w:rPr>
      </w:pPr>
      <w:r>
        <w:rPr>
          <w:rFonts w:hint="eastAsia" w:ascii="宋体" w:hAnsi="宋体"/>
          <w:b/>
          <w:sz w:val="36"/>
          <w:szCs w:val="36"/>
        </w:rPr>
        <w:t>学位论文版权使用授权书</w:t>
      </w:r>
    </w:p>
    <w:p w14:paraId="61688DDC">
      <w:pPr>
        <w:jc w:val="center"/>
        <w:rPr>
          <w:b/>
          <w:sz w:val="10"/>
          <w:szCs w:val="32"/>
        </w:rPr>
      </w:pPr>
    </w:p>
    <w:p w14:paraId="155C5A71">
      <w:pPr>
        <w:spacing w:after="120" w:line="460" w:lineRule="exact"/>
        <w:ind w:left="420" w:leftChars="200" w:firstLine="480"/>
        <w:rPr>
          <w:sz w:val="24"/>
          <w:szCs w:val="24"/>
        </w:rPr>
      </w:pPr>
      <w:r>
        <w:rPr>
          <w:rFonts w:hint="eastAsia"/>
          <w:sz w:val="24"/>
          <w:szCs w:val="24"/>
        </w:rPr>
        <w:t>本学位论文作者完全了解学校有关保留、使用学位论文的规定，同意学校保留并向国家有关部门或机构送交论文的复印件和电子版，允许论文被查阅和借阅。本人授权</w:t>
      </w:r>
      <w:r>
        <w:rPr>
          <w:rFonts w:hint="eastAsia" w:ascii="黑体" w:eastAsia="黑体"/>
          <w:b/>
          <w:sz w:val="24"/>
          <w:szCs w:val="24"/>
        </w:rPr>
        <w:t>江西科技学院</w:t>
      </w:r>
      <w:r>
        <w:rPr>
          <w:rFonts w:hint="eastAsia"/>
          <w:sz w:val="24"/>
          <w:szCs w:val="24"/>
        </w:rPr>
        <w:t>可以将本论文的全部或部分内容编入有关数据库进行检索，可以采用影印、缩印或扫描等复制手段保存和汇编本学位论文。</w:t>
      </w:r>
    </w:p>
    <w:p w14:paraId="3332F601">
      <w:pPr>
        <w:adjustRightInd w:val="0"/>
        <w:snapToGrid w:val="0"/>
        <w:spacing w:line="380" w:lineRule="exact"/>
        <w:ind w:firstLine="480" w:firstLineChars="200"/>
        <w:rPr>
          <w:sz w:val="24"/>
          <w:szCs w:val="24"/>
        </w:rPr>
      </w:pPr>
    </w:p>
    <w:tbl>
      <w:tblPr>
        <w:tblStyle w:val="12"/>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108" w:type="dxa"/>
          <w:bottom w:w="0" w:type="dxa"/>
          <w:right w:w="108" w:type="dxa"/>
        </w:tblCellMar>
      </w:tblPr>
      <w:tblGrid>
        <w:gridCol w:w="2832"/>
        <w:gridCol w:w="5888"/>
      </w:tblGrid>
      <w:tr w14:paraId="07CD85CA">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cantSplit/>
          <w:trHeight w:val="480" w:hRule="atLeast"/>
        </w:trPr>
        <w:tc>
          <w:tcPr>
            <w:tcW w:w="2832" w:type="dxa"/>
            <w:vMerge w:val="restart"/>
            <w:tcBorders>
              <w:top w:val="single" w:color="FFFFFF" w:sz="4" w:space="0"/>
              <w:left w:val="single" w:color="FFFFFF" w:sz="4" w:space="0"/>
              <w:bottom w:val="single" w:color="FFFFFF" w:sz="4" w:space="0"/>
              <w:right w:val="single" w:color="FFFFFF" w:sz="4" w:space="0"/>
            </w:tcBorders>
            <w:vAlign w:val="center"/>
          </w:tcPr>
          <w:p w14:paraId="68CAA64D">
            <w:pPr>
              <w:adjustRightInd w:val="0"/>
              <w:snapToGrid w:val="0"/>
              <w:ind w:firstLine="540" w:firstLineChars="225"/>
              <w:rPr>
                <w:sz w:val="24"/>
                <w:szCs w:val="24"/>
              </w:rPr>
            </w:pPr>
            <w:r>
              <w:rPr>
                <w:rFonts w:hint="eastAsia"/>
                <w:sz w:val="24"/>
                <w:szCs w:val="24"/>
              </w:rPr>
              <w:t>本学位论文属于</w:t>
            </w:r>
          </w:p>
        </w:tc>
        <w:tc>
          <w:tcPr>
            <w:tcW w:w="5888" w:type="dxa"/>
            <w:tcBorders>
              <w:top w:val="single" w:color="FFFFFF" w:sz="4" w:space="0"/>
              <w:left w:val="single" w:color="FFFFFF" w:sz="4" w:space="0"/>
              <w:bottom w:val="single" w:color="FFFFFF" w:sz="4" w:space="0"/>
              <w:right w:val="single" w:color="FFFFFF" w:sz="4" w:space="0"/>
            </w:tcBorders>
            <w:vAlign w:val="center"/>
          </w:tcPr>
          <w:p w14:paraId="7A2CA6AA">
            <w:pPr>
              <w:adjustRightInd w:val="0"/>
              <w:snapToGrid w:val="0"/>
              <w:rPr>
                <w:sz w:val="24"/>
                <w:szCs w:val="24"/>
              </w:rPr>
            </w:pPr>
            <w:r>
              <w:rPr>
                <w:rFonts w:hint="eastAsia"/>
                <w:sz w:val="24"/>
                <w:szCs w:val="24"/>
              </w:rPr>
              <w:t>保</w:t>
            </w:r>
            <w:r>
              <w:rPr>
                <w:sz w:val="24"/>
                <w:szCs w:val="24"/>
              </w:rPr>
              <w:t xml:space="preserve">  </w:t>
            </w:r>
            <w:r>
              <w:rPr>
                <w:rFonts w:hint="eastAsia"/>
                <w:sz w:val="24"/>
                <w:szCs w:val="24"/>
              </w:rPr>
              <w:t>密</w:t>
            </w:r>
            <w:r>
              <w:rPr>
                <w:sz w:val="24"/>
                <w:szCs w:val="24"/>
              </w:rPr>
              <w:t xml:space="preserve"> </w:t>
            </w:r>
            <w:r>
              <w:rPr>
                <w:rFonts w:hint="eastAsia"/>
                <w:sz w:val="24"/>
                <w:szCs w:val="24"/>
              </w:rPr>
              <w:t>□，</w:t>
            </w:r>
            <w:r>
              <w:rPr>
                <w:sz w:val="24"/>
                <w:szCs w:val="24"/>
              </w:rPr>
              <w:t xml:space="preserve"> </w:t>
            </w:r>
            <w:r>
              <w:rPr>
                <w:rFonts w:hint="eastAsia"/>
                <w:sz w:val="24"/>
                <w:szCs w:val="24"/>
              </w:rPr>
              <w:t>在</w:t>
            </w:r>
            <w:r>
              <w:rPr>
                <w:sz w:val="24"/>
                <w:szCs w:val="24"/>
              </w:rPr>
              <w:t xml:space="preserve">   </w:t>
            </w:r>
            <w:r>
              <w:rPr>
                <w:rFonts w:hint="eastAsia"/>
                <w:sz w:val="24"/>
                <w:szCs w:val="24"/>
              </w:rPr>
              <w:t>年解密后适用本授权书。</w:t>
            </w:r>
          </w:p>
        </w:tc>
      </w:tr>
      <w:tr w14:paraId="50D739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Ex>
        <w:trPr>
          <w:cantSplit/>
          <w:trHeight w:val="480" w:hRule="atLeast"/>
        </w:trPr>
        <w:tc>
          <w:tcPr>
            <w:tcW w:w="2832" w:type="dxa"/>
            <w:vMerge w:val="continue"/>
            <w:tcBorders>
              <w:top w:val="single" w:color="FFFFFF" w:sz="4" w:space="0"/>
              <w:left w:val="single" w:color="FFFFFF" w:sz="4" w:space="0"/>
              <w:bottom w:val="single" w:color="FFFFFF" w:sz="4" w:space="0"/>
              <w:right w:val="single" w:color="FFFFFF" w:sz="4" w:space="0"/>
            </w:tcBorders>
            <w:vAlign w:val="center"/>
          </w:tcPr>
          <w:p w14:paraId="61FA0B9D">
            <w:pPr>
              <w:rPr>
                <w:sz w:val="24"/>
                <w:szCs w:val="24"/>
              </w:rPr>
            </w:pPr>
          </w:p>
        </w:tc>
        <w:tc>
          <w:tcPr>
            <w:tcW w:w="5888" w:type="dxa"/>
            <w:tcBorders>
              <w:top w:val="single" w:color="FFFFFF" w:sz="4" w:space="0"/>
              <w:left w:val="single" w:color="FFFFFF" w:sz="4" w:space="0"/>
              <w:bottom w:val="single" w:color="FFFFFF" w:sz="4" w:space="0"/>
              <w:right w:val="single" w:color="FFFFFF" w:sz="4" w:space="0"/>
            </w:tcBorders>
            <w:vAlign w:val="center"/>
          </w:tcPr>
          <w:p w14:paraId="2AF95963">
            <w:pPr>
              <w:adjustRightInd w:val="0"/>
              <w:snapToGrid w:val="0"/>
              <w:rPr>
                <w:sz w:val="24"/>
                <w:szCs w:val="24"/>
              </w:rPr>
            </w:pPr>
            <w:r>
              <w:rPr>
                <w:rFonts w:hint="eastAsia"/>
                <w:sz w:val="24"/>
                <w:szCs w:val="24"/>
              </w:rPr>
              <w:t>不保密</w:t>
            </w:r>
            <w:r>
              <w:rPr>
                <w:sz w:val="24"/>
                <w:szCs w:val="24"/>
              </w:rPr>
              <w:t xml:space="preserve"> </w:t>
            </w:r>
            <w:r>
              <w:rPr>
                <w:rFonts w:hint="eastAsia"/>
                <w:sz w:val="24"/>
                <w:szCs w:val="24"/>
                <w:lang w:eastAsia="zh-CN"/>
              </w:rPr>
              <w:t>☑</w:t>
            </w:r>
            <w:r>
              <w:rPr>
                <w:rFonts w:hint="eastAsia"/>
                <w:sz w:val="24"/>
                <w:szCs w:val="24"/>
              </w:rPr>
              <w:t>。</w:t>
            </w:r>
          </w:p>
        </w:tc>
      </w:tr>
    </w:tbl>
    <w:p w14:paraId="3E5DDE38">
      <w:pPr>
        <w:adjustRightInd w:val="0"/>
        <w:snapToGrid w:val="0"/>
        <w:spacing w:line="360" w:lineRule="auto"/>
        <w:ind w:firstLine="480" w:firstLineChars="200"/>
        <w:rPr>
          <w:sz w:val="24"/>
          <w:szCs w:val="24"/>
        </w:rPr>
      </w:pPr>
    </w:p>
    <w:p w14:paraId="2072685C">
      <w:pPr>
        <w:adjustRightInd w:val="0"/>
        <w:snapToGrid w:val="0"/>
        <w:spacing w:line="360" w:lineRule="auto"/>
        <w:ind w:firstLine="480"/>
        <w:rPr>
          <w:sz w:val="24"/>
          <w:szCs w:val="24"/>
        </w:rPr>
      </w:pPr>
      <w:r>
        <w:rPr>
          <w:rFonts w:hint="eastAsia"/>
          <w:sz w:val="24"/>
          <w:szCs w:val="24"/>
        </w:rPr>
        <w:t>（请在以上相应方框内打“√”</w:t>
      </w:r>
      <w:r>
        <w:rPr>
          <w:sz w:val="24"/>
          <w:szCs w:val="24"/>
        </w:rPr>
        <w:t xml:space="preserve"> </w:t>
      </w:r>
      <w:r>
        <w:rPr>
          <w:rFonts w:hint="eastAsia"/>
          <w:sz w:val="24"/>
          <w:szCs w:val="24"/>
        </w:rPr>
        <w:t>）</w:t>
      </w:r>
    </w:p>
    <w:p w14:paraId="529BA1BC">
      <w:pPr>
        <w:adjustRightInd w:val="0"/>
        <w:snapToGrid w:val="0"/>
        <w:spacing w:line="360" w:lineRule="auto"/>
        <w:ind w:firstLine="480"/>
        <w:rPr>
          <w:sz w:val="24"/>
          <w:szCs w:val="24"/>
        </w:rPr>
      </w:pPr>
    </w:p>
    <w:p w14:paraId="2896E612">
      <w:pPr>
        <w:adjustRightInd w:val="0"/>
        <w:snapToGrid w:val="0"/>
        <w:spacing w:line="360" w:lineRule="auto"/>
        <w:ind w:firstLine="480"/>
        <w:rPr>
          <w:sz w:val="24"/>
          <w:szCs w:val="24"/>
        </w:rPr>
      </w:pPr>
    </w:p>
    <w:p w14:paraId="6C583528">
      <w:pPr>
        <w:adjustRightInd w:val="0"/>
        <w:snapToGrid w:val="0"/>
        <w:spacing w:line="720" w:lineRule="auto"/>
        <w:ind w:left="479" w:leftChars="228"/>
        <w:rPr>
          <w:rFonts w:eastAsia="黑体"/>
          <w:sz w:val="24"/>
          <w:szCs w:val="24"/>
        </w:rPr>
      </w:pPr>
      <w:r>
        <w:rPr>
          <w:rFonts w:hint="eastAsia"/>
          <w:sz w:val="24"/>
          <w:szCs w:val="24"/>
        </w:rPr>
        <w:t>学位论文作者签名（手写）：</w:t>
      </w:r>
      <w:r>
        <w:rPr>
          <w:rFonts w:eastAsia="黑体"/>
          <w:sz w:val="24"/>
          <w:szCs w:val="24"/>
        </w:rPr>
        <w:t xml:space="preserve">          </w:t>
      </w:r>
      <w:r>
        <w:rPr>
          <w:rFonts w:hint="eastAsia"/>
          <w:sz w:val="24"/>
          <w:szCs w:val="24"/>
        </w:rPr>
        <w:t>指导老师签名（手写）：</w:t>
      </w:r>
      <w:r>
        <w:rPr>
          <w:sz w:val="24"/>
          <w:szCs w:val="24"/>
        </w:rPr>
        <w:t xml:space="preserve"> </w:t>
      </w:r>
      <w:r>
        <w:rPr>
          <w:rFonts w:eastAsia="黑体"/>
          <w:sz w:val="24"/>
          <w:szCs w:val="24"/>
        </w:rPr>
        <w:t xml:space="preserve">           </w:t>
      </w:r>
    </w:p>
    <w:p w14:paraId="7A4D0CAA">
      <w:pPr>
        <w:adjustRightInd w:val="0"/>
        <w:snapToGrid w:val="0"/>
        <w:spacing w:line="720" w:lineRule="auto"/>
        <w:ind w:left="479" w:leftChars="228"/>
        <w:rPr>
          <w:sz w:val="24"/>
          <w:szCs w:val="24"/>
        </w:rPr>
      </w:pPr>
      <w:r>
        <w:rPr>
          <w:rFonts w:hint="eastAsia"/>
          <w:sz w:val="24"/>
          <w:szCs w:val="24"/>
        </w:rPr>
        <w:t>签字日期：</w:t>
      </w:r>
      <w:r>
        <w:rPr>
          <w:sz w:val="24"/>
          <w:szCs w:val="24"/>
        </w:rPr>
        <w:t xml:space="preserve">     </w:t>
      </w:r>
      <w:r>
        <w:rPr>
          <w:rFonts w:hint="eastAsia"/>
          <w:sz w:val="24"/>
          <w:szCs w:val="24"/>
        </w:rPr>
        <w:t>年</w:t>
      </w:r>
      <w:r>
        <w:rPr>
          <w:sz w:val="24"/>
          <w:szCs w:val="24"/>
        </w:rPr>
        <w:t xml:space="preserve">   </w:t>
      </w:r>
      <w:r>
        <w:rPr>
          <w:rFonts w:hint="eastAsia"/>
          <w:sz w:val="24"/>
          <w:szCs w:val="24"/>
        </w:rPr>
        <w:t>月</w:t>
      </w:r>
      <w:r>
        <w:rPr>
          <w:sz w:val="24"/>
          <w:szCs w:val="24"/>
        </w:rPr>
        <w:t xml:space="preserve">   </w:t>
      </w:r>
      <w:r>
        <w:rPr>
          <w:rFonts w:hint="eastAsia"/>
          <w:sz w:val="24"/>
          <w:szCs w:val="24"/>
        </w:rPr>
        <w:t>日</w:t>
      </w:r>
      <w:r>
        <w:rPr>
          <w:sz w:val="24"/>
          <w:szCs w:val="24"/>
        </w:rPr>
        <w:t xml:space="preserve">            </w:t>
      </w:r>
      <w:r>
        <w:rPr>
          <w:rFonts w:hint="eastAsia"/>
          <w:sz w:val="24"/>
          <w:szCs w:val="24"/>
        </w:rPr>
        <w:t>签字日期：</w:t>
      </w:r>
      <w:r>
        <w:rPr>
          <w:sz w:val="24"/>
          <w:szCs w:val="24"/>
        </w:rPr>
        <w:t xml:space="preserve">    </w:t>
      </w:r>
      <w:r>
        <w:rPr>
          <w:rFonts w:hint="eastAsia"/>
          <w:sz w:val="24"/>
          <w:szCs w:val="24"/>
        </w:rPr>
        <w:t>年</w:t>
      </w:r>
      <w:r>
        <w:rPr>
          <w:sz w:val="24"/>
          <w:szCs w:val="24"/>
        </w:rPr>
        <w:t xml:space="preserve">    </w:t>
      </w:r>
      <w:r>
        <w:rPr>
          <w:rFonts w:hint="eastAsia"/>
          <w:sz w:val="24"/>
          <w:szCs w:val="24"/>
        </w:rPr>
        <w:t>月</w:t>
      </w:r>
      <w:r>
        <w:rPr>
          <w:sz w:val="24"/>
          <w:szCs w:val="24"/>
        </w:rPr>
        <w:t xml:space="preserve">   </w:t>
      </w:r>
      <w:r>
        <w:rPr>
          <w:rFonts w:hint="eastAsia"/>
          <w:sz w:val="24"/>
          <w:szCs w:val="24"/>
        </w:rPr>
        <w:t>日</w:t>
      </w:r>
    </w:p>
    <w:p w14:paraId="37E71298">
      <w:pPr>
        <w:sectPr>
          <w:pgSz w:w="11906" w:h="16838"/>
          <w:pgMar w:top="1928" w:right="1701" w:bottom="1701" w:left="1701" w:header="851" w:footer="992" w:gutter="0"/>
          <w:cols w:space="720" w:num="1"/>
          <w:docGrid w:type="lines" w:linePitch="312" w:charSpace="0"/>
        </w:sectPr>
      </w:pPr>
    </w:p>
    <w:bookmarkEnd w:id="6"/>
    <w:p w14:paraId="056E7306">
      <w:pPr>
        <w:widowControl/>
        <w:spacing w:before="312" w:beforeLines="100" w:after="312" w:afterLines="100"/>
        <w:jc w:val="center"/>
        <w:rPr>
          <w:rFonts w:hint="eastAsia" w:ascii="黑体" w:hAnsi="黑体" w:eastAsia="黑体"/>
          <w:b/>
          <w:sz w:val="32"/>
          <w:szCs w:val="32"/>
          <w:lang w:val="en-US" w:eastAsia="zh-CN"/>
        </w:rPr>
      </w:pPr>
      <w:r>
        <w:rPr>
          <w:rFonts w:ascii="黑体" w:hAnsi="黑体" w:eastAsia="黑体"/>
          <w:b/>
          <w:sz w:val="32"/>
          <w:szCs w:val="32"/>
        </w:rPr>
        <w:t>摘</w:t>
      </w:r>
      <w:r>
        <w:rPr>
          <w:rFonts w:hint="eastAsia" w:ascii="黑体" w:hAnsi="黑体" w:eastAsia="黑体"/>
          <w:b/>
          <w:sz w:val="32"/>
          <w:szCs w:val="32"/>
        </w:rPr>
        <w:t xml:space="preserve"> </w:t>
      </w:r>
      <w:r>
        <w:rPr>
          <w:rFonts w:ascii="黑体" w:hAnsi="黑体" w:eastAsia="黑体"/>
          <w:b/>
          <w:sz w:val="32"/>
          <w:szCs w:val="32"/>
        </w:rPr>
        <w:t xml:space="preserve"> 要</w:t>
      </w:r>
      <w:bookmarkEnd w:id="0"/>
      <w:bookmarkEnd w:id="1"/>
      <w:bookmarkEnd w:id="2"/>
      <w:bookmarkEnd w:id="3"/>
      <w:bookmarkEnd w:id="4"/>
      <w:bookmarkEnd w:id="5"/>
    </w:p>
    <w:p w14:paraId="2C9BDE00">
      <w:pPr>
        <w:pStyle w:val="1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38" w:lineRule="atLeast"/>
        <w:ind w:left="0" w:right="0" w:firstLine="420"/>
        <w:rPr>
          <w:rFonts w:hint="default" w:ascii="宋体" w:hAnsi="宋体" w:eastAsia="宋体" w:cs="宋体"/>
          <w:i w:val="0"/>
          <w:iCs w:val="0"/>
          <w:caps w:val="0"/>
          <w:color w:val="333333"/>
          <w:spacing w:val="0"/>
          <w:sz w:val="22"/>
          <w:szCs w:val="22"/>
          <w:lang w:val="en-US" w:eastAsia="zh-CN"/>
        </w:rPr>
      </w:pPr>
      <w:r>
        <w:rPr>
          <w:rFonts w:hint="eastAsia" w:ascii="宋体" w:hAnsi="宋体" w:eastAsia="宋体" w:cs="宋体"/>
          <w:i w:val="0"/>
          <w:iCs w:val="0"/>
          <w:caps w:val="0"/>
          <w:color w:val="333333"/>
          <w:spacing w:val="0"/>
          <w:sz w:val="22"/>
          <w:szCs w:val="22"/>
          <w:bdr w:val="none" w:color="auto" w:sz="0" w:space="0"/>
          <w:lang w:val="en-US" w:eastAsia="zh-CN"/>
        </w:rPr>
        <w:t>在我国经济发展新常态下，</w:t>
      </w:r>
      <w:r>
        <w:rPr>
          <w:rFonts w:hint="eastAsia" w:ascii="宋体" w:hAnsi="宋体" w:eastAsia="宋体" w:cs="宋体"/>
          <w:i w:val="0"/>
          <w:iCs w:val="0"/>
          <w:caps w:val="0"/>
          <w:color w:val="333333"/>
          <w:spacing w:val="0"/>
          <w:sz w:val="22"/>
          <w:szCs w:val="22"/>
          <w:bdr w:val="none" w:color="auto" w:sz="0" w:space="0"/>
        </w:rPr>
        <w:t>并购</w:t>
      </w:r>
      <w:r>
        <w:rPr>
          <w:rFonts w:hint="eastAsia" w:ascii="宋体" w:hAnsi="宋体" w:eastAsia="宋体" w:cs="宋体"/>
          <w:i w:val="0"/>
          <w:iCs w:val="0"/>
          <w:caps w:val="0"/>
          <w:color w:val="333333"/>
          <w:spacing w:val="0"/>
          <w:sz w:val="22"/>
          <w:szCs w:val="22"/>
          <w:bdr w:val="none" w:color="auto" w:sz="0" w:space="0"/>
          <w:lang w:val="en-US" w:eastAsia="zh-CN"/>
        </w:rPr>
        <w:t>行为能够帮助</w:t>
      </w:r>
      <w:r>
        <w:rPr>
          <w:rFonts w:hint="eastAsia" w:ascii="宋体" w:hAnsi="宋体" w:eastAsia="宋体" w:cs="宋体"/>
          <w:i w:val="0"/>
          <w:iCs w:val="0"/>
          <w:caps w:val="0"/>
          <w:color w:val="333333"/>
          <w:spacing w:val="0"/>
          <w:sz w:val="22"/>
          <w:szCs w:val="22"/>
          <w:bdr w:val="none" w:color="auto" w:sz="0" w:space="0"/>
        </w:rPr>
        <w:t>企业实现快速扩张、优化资源配置、提升市场竞争力</w:t>
      </w:r>
      <w:r>
        <w:rPr>
          <w:rFonts w:hint="eastAsia" w:ascii="宋体" w:hAnsi="宋体" w:eastAsia="宋体" w:cs="宋体"/>
          <w:i w:val="0"/>
          <w:iCs w:val="0"/>
          <w:caps w:val="0"/>
          <w:color w:val="333333"/>
          <w:spacing w:val="0"/>
          <w:sz w:val="22"/>
          <w:szCs w:val="22"/>
          <w:bdr w:val="none" w:color="auto" w:sz="0" w:space="0"/>
          <w:lang w:val="en-US" w:eastAsia="zh-CN"/>
        </w:rPr>
        <w:t>且促进经济转型升级，多数食品行业也旨在通过并购策略，提升自身所在食品行业的行业地位。</w:t>
      </w:r>
      <w:r>
        <w:rPr>
          <w:rFonts w:hint="eastAsia" w:ascii="宋体" w:hAnsi="宋体" w:eastAsia="宋体" w:cs="宋体"/>
          <w:i w:val="0"/>
          <w:iCs w:val="0"/>
          <w:caps w:val="0"/>
          <w:color w:val="333333"/>
          <w:spacing w:val="0"/>
          <w:sz w:val="22"/>
          <w:szCs w:val="22"/>
          <w:bdr w:val="none" w:color="auto" w:sz="0" w:space="0"/>
        </w:rPr>
        <w:t>本文以安井食品股份有限公司并购新宏业食品有限公司为研究对象，运用</w:t>
      </w:r>
      <w:r>
        <w:rPr>
          <w:rFonts w:hint="eastAsia" w:ascii="宋体" w:hAnsi="宋体" w:eastAsia="宋体" w:cs="宋体"/>
          <w:i w:val="0"/>
          <w:iCs w:val="0"/>
          <w:caps w:val="0"/>
          <w:color w:val="333333"/>
          <w:spacing w:val="0"/>
          <w:sz w:val="22"/>
          <w:szCs w:val="22"/>
          <w:bdr w:val="none" w:color="auto" w:sz="0" w:space="0"/>
          <w:lang w:val="en-US" w:eastAsia="zh-CN"/>
        </w:rPr>
        <w:t>文献</w:t>
      </w:r>
      <w:r>
        <w:rPr>
          <w:rFonts w:hint="eastAsia" w:ascii="宋体" w:hAnsi="宋体" w:eastAsia="宋体" w:cs="宋体"/>
          <w:i w:val="0"/>
          <w:iCs w:val="0"/>
          <w:caps w:val="0"/>
          <w:color w:val="333333"/>
          <w:spacing w:val="0"/>
          <w:sz w:val="22"/>
          <w:szCs w:val="22"/>
          <w:bdr w:val="none" w:color="auto" w:sz="0" w:space="0"/>
        </w:rPr>
        <w:t>分析法</w:t>
      </w:r>
      <w:r>
        <w:rPr>
          <w:rFonts w:hint="eastAsia" w:ascii="宋体" w:hAnsi="宋体" w:eastAsia="宋体" w:cs="宋体"/>
          <w:i w:val="0"/>
          <w:iCs w:val="0"/>
          <w:caps w:val="0"/>
          <w:color w:val="333333"/>
          <w:spacing w:val="0"/>
          <w:sz w:val="22"/>
          <w:szCs w:val="22"/>
          <w:bdr w:val="none" w:color="auto" w:sz="0" w:space="0"/>
          <w:lang w:val="en-US" w:eastAsia="zh-CN"/>
        </w:rPr>
        <w:t>和案例</w:t>
      </w:r>
      <w:r>
        <w:rPr>
          <w:rFonts w:hint="eastAsia" w:ascii="宋体" w:hAnsi="宋体" w:eastAsia="宋体" w:cs="宋体"/>
          <w:i w:val="0"/>
          <w:iCs w:val="0"/>
          <w:caps w:val="0"/>
          <w:color w:val="333333"/>
          <w:spacing w:val="0"/>
          <w:sz w:val="22"/>
          <w:szCs w:val="22"/>
          <w:bdr w:val="none" w:color="auto" w:sz="0" w:space="0"/>
        </w:rPr>
        <w:t>分析法</w:t>
      </w:r>
      <w:r>
        <w:rPr>
          <w:rFonts w:hint="eastAsia" w:ascii="宋体" w:hAnsi="宋体" w:eastAsia="宋体" w:cs="宋体"/>
          <w:i w:val="0"/>
          <w:iCs w:val="0"/>
          <w:caps w:val="0"/>
          <w:color w:val="333333"/>
          <w:spacing w:val="0"/>
          <w:sz w:val="22"/>
          <w:szCs w:val="22"/>
          <w:bdr w:val="none" w:color="auto" w:sz="0" w:space="0"/>
          <w:lang w:val="en-US" w:eastAsia="zh-CN"/>
        </w:rPr>
        <w:t>以及</w:t>
      </w:r>
      <w:r>
        <w:rPr>
          <w:rFonts w:hint="eastAsia" w:ascii="宋体" w:hAnsi="宋体" w:eastAsia="宋体" w:cs="宋体"/>
          <w:i w:val="0"/>
          <w:iCs w:val="0"/>
          <w:caps w:val="0"/>
          <w:color w:val="333333"/>
          <w:spacing w:val="0"/>
          <w:sz w:val="22"/>
          <w:szCs w:val="22"/>
        </w:rPr>
        <w:t>财务指标</w:t>
      </w:r>
      <w:r>
        <w:rPr>
          <w:rFonts w:hint="eastAsia" w:ascii="宋体" w:hAnsi="宋体" w:eastAsia="宋体" w:cs="宋体"/>
          <w:i w:val="0"/>
          <w:iCs w:val="0"/>
          <w:caps w:val="0"/>
          <w:color w:val="333333"/>
          <w:spacing w:val="0"/>
          <w:sz w:val="22"/>
          <w:szCs w:val="22"/>
          <w:bdr w:val="none" w:color="auto" w:sz="0" w:space="0"/>
          <w:lang w:val="en-US" w:eastAsia="zh-CN"/>
        </w:rPr>
        <w:t>分析法</w:t>
      </w:r>
      <w:r>
        <w:rPr>
          <w:rFonts w:hint="eastAsia" w:ascii="宋体" w:hAnsi="宋体" w:eastAsia="宋体" w:cs="宋体"/>
          <w:i w:val="0"/>
          <w:iCs w:val="0"/>
          <w:caps w:val="0"/>
          <w:color w:val="333333"/>
          <w:spacing w:val="0"/>
          <w:sz w:val="22"/>
          <w:szCs w:val="22"/>
          <w:bdr w:val="none" w:color="auto" w:sz="0" w:space="0"/>
        </w:rPr>
        <w:t>，系统分析了此次并购的动因及财务绩效。</w:t>
      </w:r>
      <w:r>
        <w:rPr>
          <w:rFonts w:hint="eastAsia" w:ascii="宋体" w:hAnsi="宋体" w:eastAsia="宋体" w:cs="宋体"/>
          <w:i w:val="0"/>
          <w:iCs w:val="0"/>
          <w:caps w:val="0"/>
          <w:color w:val="333333"/>
          <w:spacing w:val="0"/>
          <w:sz w:val="22"/>
          <w:szCs w:val="22"/>
          <w:bdr w:val="none" w:color="auto" w:sz="0" w:space="0"/>
          <w:lang w:val="en-US" w:eastAsia="zh-CN"/>
        </w:rPr>
        <w:t>通过对企业并购内外部动因及企业四大财务绩效指标偿债能力、盈利能力、营运能力和发展能力具体数据分析综合评估得出企业可能存在的问题，</w:t>
      </w:r>
      <w:r>
        <w:rPr>
          <w:rFonts w:hint="eastAsia" w:ascii="宋体" w:hAnsi="宋体" w:eastAsia="宋体" w:cs="宋体"/>
          <w:i w:val="0"/>
          <w:iCs w:val="0"/>
          <w:caps w:val="0"/>
          <w:color w:val="333333"/>
          <w:spacing w:val="0"/>
          <w:sz w:val="22"/>
          <w:szCs w:val="22"/>
          <w:bdr w:val="none" w:color="auto" w:sz="0" w:space="0"/>
        </w:rPr>
        <w:t>针对上述问题，本文提出</w:t>
      </w:r>
      <w:r>
        <w:rPr>
          <w:rFonts w:hint="eastAsia" w:ascii="宋体" w:hAnsi="宋体" w:eastAsia="宋体" w:cs="宋体"/>
          <w:i w:val="0"/>
          <w:iCs w:val="0"/>
          <w:caps w:val="0"/>
          <w:color w:val="333333"/>
          <w:spacing w:val="0"/>
          <w:sz w:val="22"/>
          <w:szCs w:val="22"/>
          <w:bdr w:val="none" w:color="auto" w:sz="0" w:space="0"/>
          <w:lang w:val="en-US" w:eastAsia="zh-CN"/>
        </w:rPr>
        <w:t>合理的相关</w:t>
      </w:r>
      <w:r>
        <w:rPr>
          <w:rFonts w:hint="eastAsia" w:ascii="宋体" w:hAnsi="宋体" w:eastAsia="宋体" w:cs="宋体"/>
          <w:i w:val="0"/>
          <w:iCs w:val="0"/>
          <w:caps w:val="0"/>
          <w:color w:val="333333"/>
          <w:spacing w:val="0"/>
          <w:sz w:val="22"/>
          <w:szCs w:val="22"/>
          <w:bdr w:val="none" w:color="auto" w:sz="0" w:space="0"/>
        </w:rPr>
        <w:t>对策建议</w:t>
      </w:r>
      <w:r>
        <w:rPr>
          <w:rFonts w:hint="eastAsia" w:ascii="宋体" w:hAnsi="宋体" w:eastAsia="宋体" w:cs="宋体"/>
          <w:i w:val="0"/>
          <w:iCs w:val="0"/>
          <w:caps w:val="0"/>
          <w:color w:val="333333"/>
          <w:spacing w:val="0"/>
          <w:sz w:val="22"/>
          <w:szCs w:val="22"/>
          <w:bdr w:val="none" w:color="auto" w:sz="0" w:space="0"/>
          <w:lang w:eastAsia="zh-CN"/>
        </w:rPr>
        <w:t>。</w:t>
      </w:r>
      <w:r>
        <w:rPr>
          <w:rFonts w:hint="eastAsia" w:ascii="宋体" w:hAnsi="宋体" w:eastAsia="宋体" w:cs="宋体"/>
          <w:i w:val="0"/>
          <w:iCs w:val="0"/>
          <w:caps w:val="0"/>
          <w:color w:val="333333"/>
          <w:spacing w:val="0"/>
          <w:sz w:val="22"/>
          <w:szCs w:val="22"/>
          <w:bdr w:val="none" w:color="auto" w:sz="0" w:space="0"/>
          <w:lang w:val="en-US" w:eastAsia="zh-CN"/>
        </w:rPr>
        <w:t>此次并购行为</w:t>
      </w:r>
      <w:r>
        <w:rPr>
          <w:rFonts w:hint="eastAsia" w:ascii="宋体" w:hAnsi="宋体" w:eastAsia="宋体" w:cs="宋体"/>
          <w:i w:val="0"/>
          <w:iCs w:val="0"/>
          <w:caps w:val="0"/>
          <w:color w:val="333333"/>
          <w:spacing w:val="0"/>
          <w:sz w:val="22"/>
          <w:szCs w:val="22"/>
          <w:bdr w:val="none" w:color="auto" w:sz="0" w:space="0"/>
        </w:rPr>
        <w:t>为安井食品后续的并购整合提供</w:t>
      </w:r>
      <w:r>
        <w:rPr>
          <w:rFonts w:hint="eastAsia" w:ascii="宋体" w:hAnsi="宋体" w:eastAsia="宋体" w:cs="宋体"/>
          <w:i w:val="0"/>
          <w:iCs w:val="0"/>
          <w:caps w:val="0"/>
          <w:color w:val="333333"/>
          <w:spacing w:val="0"/>
          <w:sz w:val="22"/>
          <w:szCs w:val="22"/>
          <w:bdr w:val="none" w:color="auto" w:sz="0" w:space="0"/>
          <w:lang w:val="en-US" w:eastAsia="zh-CN"/>
        </w:rPr>
        <w:t>良好的理论基础参考</w:t>
      </w:r>
      <w:r>
        <w:rPr>
          <w:rFonts w:hint="eastAsia" w:ascii="宋体" w:hAnsi="宋体" w:eastAsia="宋体" w:cs="宋体"/>
          <w:i w:val="0"/>
          <w:iCs w:val="0"/>
          <w:caps w:val="0"/>
          <w:color w:val="333333"/>
          <w:spacing w:val="0"/>
          <w:sz w:val="22"/>
          <w:szCs w:val="22"/>
          <w:bdr w:val="none" w:color="auto" w:sz="0" w:space="0"/>
        </w:rPr>
        <w:t>，也为食品行业</w:t>
      </w:r>
      <w:r>
        <w:rPr>
          <w:rFonts w:hint="eastAsia" w:ascii="宋体" w:hAnsi="宋体" w:eastAsia="宋体" w:cs="宋体"/>
          <w:i w:val="0"/>
          <w:iCs w:val="0"/>
          <w:caps w:val="0"/>
          <w:color w:val="333333"/>
          <w:spacing w:val="0"/>
          <w:sz w:val="22"/>
          <w:szCs w:val="22"/>
          <w:bdr w:val="none" w:color="auto" w:sz="0" w:space="0"/>
          <w:lang w:val="en-US" w:eastAsia="zh-CN"/>
        </w:rPr>
        <w:t>及</w:t>
      </w:r>
      <w:r>
        <w:rPr>
          <w:rFonts w:hint="eastAsia" w:ascii="宋体" w:hAnsi="宋体" w:eastAsia="宋体" w:cs="宋体"/>
          <w:i w:val="0"/>
          <w:iCs w:val="0"/>
          <w:caps w:val="0"/>
          <w:color w:val="333333"/>
          <w:spacing w:val="0"/>
          <w:sz w:val="22"/>
          <w:szCs w:val="22"/>
          <w:bdr w:val="none" w:color="auto" w:sz="0" w:space="0"/>
        </w:rPr>
        <w:t>其他企业的并购实践提供经验借鉴</w:t>
      </w:r>
      <w:r>
        <w:rPr>
          <w:rFonts w:hint="eastAsia" w:ascii="宋体" w:hAnsi="宋体" w:eastAsia="宋体" w:cs="宋体"/>
          <w:i w:val="0"/>
          <w:iCs w:val="0"/>
          <w:caps w:val="0"/>
          <w:color w:val="333333"/>
          <w:spacing w:val="0"/>
          <w:sz w:val="22"/>
          <w:szCs w:val="22"/>
          <w:bdr w:val="none" w:color="auto" w:sz="0" w:space="0"/>
          <w:lang w:eastAsia="zh-CN"/>
        </w:rPr>
        <w:t>，</w:t>
      </w:r>
      <w:r>
        <w:rPr>
          <w:rFonts w:hint="eastAsia" w:ascii="宋体" w:hAnsi="宋体" w:eastAsia="宋体" w:cs="宋体"/>
          <w:i w:val="0"/>
          <w:iCs w:val="0"/>
          <w:caps w:val="0"/>
          <w:color w:val="333333"/>
          <w:spacing w:val="0"/>
          <w:sz w:val="22"/>
          <w:szCs w:val="22"/>
          <w:bdr w:val="none" w:color="auto" w:sz="0" w:space="0"/>
          <w:lang w:val="en-US" w:eastAsia="zh-CN"/>
        </w:rPr>
        <w:t>推动我国食品行业经济良性发展。</w:t>
      </w:r>
    </w:p>
    <w:p w14:paraId="3124482E">
      <w:pPr>
        <w:spacing w:line="400" w:lineRule="exact"/>
        <w:ind w:firstLine="480" w:firstLineChars="200"/>
        <w:rPr>
          <w:rFonts w:ascii="Times New Roman" w:hAnsi="Times New Roman"/>
          <w:sz w:val="24"/>
          <w:szCs w:val="24"/>
        </w:rPr>
      </w:pPr>
      <w:r>
        <w:rPr>
          <w:rFonts w:ascii="Times New Roman" w:hAnsi="Times New Roman"/>
          <w:b/>
          <w:bCs/>
          <w:sz w:val="24"/>
          <w:szCs w:val="24"/>
        </w:rPr>
        <w:t>关键词</w:t>
      </w:r>
      <w:r>
        <w:rPr>
          <w:rFonts w:ascii="Times New Roman" w:hAnsi="Times New Roman"/>
          <w:sz w:val="24"/>
          <w:szCs w:val="24"/>
        </w:rPr>
        <w:t>：企业并购；财务绩效；财务指标</w:t>
      </w:r>
    </w:p>
    <w:p w14:paraId="34FE339D">
      <w:pPr>
        <w:spacing w:before="312" w:beforeLines="100" w:after="312" w:afterLines="100"/>
        <w:jc w:val="center"/>
        <w:rPr>
          <w:rFonts w:ascii="Times New Roman" w:hAnsi="Times New Roman"/>
          <w:b/>
          <w:bCs/>
          <w:sz w:val="32"/>
          <w:szCs w:val="32"/>
        </w:rPr>
      </w:pPr>
      <w:r>
        <w:rPr>
          <w:rFonts w:ascii="Times New Roman" w:hAnsi="Times New Roman"/>
          <w:sz w:val="24"/>
          <w:szCs w:val="24"/>
        </w:rPr>
        <w:br w:type="page"/>
      </w:r>
      <w:bookmarkStart w:id="7" w:name="_Toc187412421"/>
      <w:r>
        <w:rPr>
          <w:rFonts w:ascii="Times New Roman" w:hAnsi="Times New Roman"/>
          <w:b/>
          <w:bCs/>
          <w:sz w:val="32"/>
          <w:szCs w:val="32"/>
        </w:rPr>
        <w:t>Abstract</w:t>
      </w:r>
      <w:bookmarkEnd w:id="7"/>
    </w:p>
    <w:p w14:paraId="07DF7D6F">
      <w:pPr>
        <w:spacing w:line="400" w:lineRule="exact"/>
        <w:ind w:firstLine="480" w:firstLineChars="200"/>
        <w:rPr>
          <w:rFonts w:ascii="Times New Roman" w:hAnsi="Times New Roman"/>
          <w:sz w:val="24"/>
          <w:szCs w:val="24"/>
        </w:rPr>
        <w:sectPr>
          <w:headerReference r:id="rId3" w:type="default"/>
          <w:footerReference r:id="rId4" w:type="default"/>
          <w:pgSz w:w="11906" w:h="16838"/>
          <w:pgMar w:top="1418" w:right="1701" w:bottom="1418" w:left="1701" w:header="851" w:footer="1134" w:gutter="0"/>
          <w:pgNumType w:fmt="upperRoman" w:start="1"/>
          <w:cols w:space="425" w:num="1"/>
          <w:docGrid w:type="linesAndChars" w:linePitch="312" w:charSpace="0"/>
        </w:sectPr>
      </w:pPr>
      <w:r>
        <w:rPr>
          <w:rFonts w:hint="eastAsia" w:ascii="Times New Roman" w:hAnsi="Times New Roman"/>
          <w:sz w:val="24"/>
          <w:szCs w:val="24"/>
        </w:rPr>
        <w:t>Under the new normal of China's economic development, mergers and acquisitions can help enterprises achieve rapid expansion, optimize resource allocation, enhance market competitiveness and promote economic transformation and upgrading. Most food enterprises also aim to enhance their industry status through merger and acquisition strategies. This paper takes the merger and acquisition of Anji Food Co., Ltd. and Xin Hongye Food Co., Ltd. as the research object, and uses the methods of literature analysis, case analysis and financial indicator analysis to systematically analyze the motives and financial performance of this merger and acquisition. Through the specific data analysis of the internal and external motives of enterprise mergers and acquisitions and the four major financial performance indicators of debt-paying ability, profitability, operating ability and development ability, the possible problems of the enterprise are comprehensively evaluated. In response to the above problems, this paper puts forward reasonable countermeasures and suggestions. This merger and acquisition behavior provides a good theoretical basis for reference for Anji Food's subsequent merger and acquisition integration, and also provides experience for the merger and acquisition practice of food enterprises and other enterprises, promoting the benign development of China's food industry economy.</w:t>
      </w:r>
      <w:r>
        <w:rPr>
          <w:rFonts w:hint="eastAsia" w:ascii="Times New Roman" w:hAnsi="Times New Roman"/>
          <w:sz w:val="24"/>
          <w:szCs w:val="24"/>
          <w:lang w:val="en-US" w:eastAsia="zh-CN"/>
        </w:rPr>
        <w:t xml:space="preserve">               </w:t>
      </w:r>
      <w:r>
        <w:rPr>
          <w:rFonts w:hint="eastAsia" w:ascii="Times New Roman" w:hAnsi="Times New Roman"/>
          <w:b/>
          <w:bCs/>
          <w:sz w:val="24"/>
          <w:szCs w:val="24"/>
        </w:rPr>
        <w:t>Keywords:</w:t>
      </w:r>
      <w:r>
        <w:rPr>
          <w:rFonts w:hint="eastAsia" w:ascii="Times New Roman" w:hAnsi="Times New Roman"/>
          <w:sz w:val="24"/>
          <w:szCs w:val="24"/>
        </w:rPr>
        <w:t xml:space="preserve"> Corporate Mergers and Acquisitions; Financial Performance; Financial Indicators</w:t>
      </w:r>
    </w:p>
    <w:sdt>
      <w:sdtPr>
        <w:rPr>
          <w:rFonts w:ascii="Times New Roman" w:hAnsi="Times New Roman" w:eastAsia="黑体"/>
          <w:kern w:val="44"/>
          <w:sz w:val="32"/>
          <w:szCs w:val="32"/>
        </w:rPr>
        <w:id w:val="147471440"/>
        <w:showingPlcHdr/>
        <w15:color w:val="DBDBDB"/>
      </w:sdtPr>
      <w:sdtEndPr>
        <w:rPr>
          <w:rFonts w:ascii="Times New Roman" w:hAnsi="Times New Roman" w:eastAsia="宋体"/>
          <w:kern w:val="2"/>
          <w:sz w:val="24"/>
          <w:szCs w:val="24"/>
        </w:rPr>
      </w:sdtEndPr>
      <w:sdtContent>
        <w:p w14:paraId="0D92EDDB">
          <w:pPr>
            <w:spacing w:before="93" w:beforeLines="30" w:after="93" w:afterLines="30"/>
            <w:rPr>
              <w:rFonts w:ascii="Times New Roman" w:hAnsi="Times New Roman"/>
            </w:rPr>
          </w:pPr>
          <w:r>
            <w:rPr>
              <w:rFonts w:hint="eastAsia" w:ascii="Times New Roman" w:hAnsi="Times New Roman" w:eastAsia="黑体"/>
              <w:kern w:val="44"/>
              <w:sz w:val="32"/>
              <w:szCs w:val="32"/>
              <w:lang w:eastAsia="zh-CN"/>
            </w:rPr>
            <w:t xml:space="preserve">     </w:t>
          </w:r>
        </w:p>
      </w:sdtContent>
    </w:sdt>
    <w:p w14:paraId="1CD82FC9">
      <w:pPr>
        <w:rPr>
          <w:rFonts w:ascii="Times New Roman" w:hAnsi="Times New Roman"/>
        </w:rPr>
        <w:sectPr>
          <w:footerReference r:id="rId5" w:type="default"/>
          <w:pgSz w:w="11906" w:h="16838"/>
          <w:pgMar w:top="1418" w:right="1701" w:bottom="1418" w:left="1701" w:header="851" w:footer="1134" w:gutter="0"/>
          <w:pgNumType w:fmt="lowerRoman" w:start="1"/>
          <w:cols w:space="425" w:num="1"/>
          <w:docGrid w:type="linesAndChars" w:linePitch="312" w:charSpace="0"/>
        </w:sectPr>
      </w:pPr>
    </w:p>
    <w:p w14:paraId="063E2ACE">
      <w:pPr>
        <w:tabs>
          <w:tab w:val="center" w:pos="4139"/>
          <w:tab w:val="left" w:pos="7545"/>
          <w:tab w:val="right" w:leader="middleDot" w:pos="7740"/>
        </w:tabs>
        <w:spacing w:before="312" w:beforeLines="100" w:after="312" w:afterLines="100"/>
        <w:jc w:val="center"/>
        <w:outlineLvl w:val="0"/>
        <w:rPr>
          <w:rFonts w:ascii="黑体" w:hAnsi="Times New Roman" w:eastAsia="黑体"/>
          <w:b/>
          <w:bCs/>
          <w:sz w:val="32"/>
          <w:szCs w:val="32"/>
        </w:rPr>
      </w:pPr>
      <w:bookmarkStart w:id="8" w:name="_Toc13270"/>
      <w:bookmarkStart w:id="9" w:name="_Toc15747"/>
      <w:bookmarkStart w:id="10" w:name="_Toc196465067"/>
      <w:bookmarkStart w:id="11" w:name="_Toc196321904"/>
      <w:r>
        <w:rPr>
          <w:rFonts w:ascii="黑体" w:hAnsi="Times New Roman" w:eastAsia="黑体"/>
          <w:b/>
          <w:bCs/>
          <w:sz w:val="32"/>
          <w:szCs w:val="32"/>
        </w:rPr>
        <w:t>第1章 引言</w:t>
      </w:r>
      <w:bookmarkEnd w:id="8"/>
      <w:bookmarkEnd w:id="9"/>
      <w:bookmarkEnd w:id="10"/>
      <w:bookmarkEnd w:id="11"/>
    </w:p>
    <w:p w14:paraId="22E2ECEB">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12" w:name="_Toc196465068"/>
      <w:bookmarkStart w:id="13" w:name="_Toc196321905"/>
      <w:r>
        <w:rPr>
          <w:rFonts w:ascii="黑体" w:hAnsi="Times New Roman" w:eastAsia="黑体"/>
          <w:b/>
          <w:bCs/>
          <w:sz w:val="24"/>
          <w:szCs w:val="24"/>
        </w:rPr>
        <w:t xml:space="preserve">1.1 </w:t>
      </w:r>
      <w:r>
        <w:rPr>
          <w:rFonts w:hint="eastAsia" w:ascii="黑体" w:hAnsi="Times New Roman" w:eastAsia="黑体"/>
          <w:b/>
          <w:bCs/>
          <w:sz w:val="24"/>
          <w:szCs w:val="24"/>
        </w:rPr>
        <w:t>研究背景</w:t>
      </w:r>
      <w:bookmarkEnd w:id="12"/>
      <w:bookmarkEnd w:id="13"/>
      <w:r>
        <w:rPr>
          <w:rFonts w:hint="eastAsia" w:ascii="黑体" w:hAnsi="Times New Roman" w:eastAsia="黑体"/>
          <w:b/>
          <w:bCs/>
          <w:sz w:val="24"/>
          <w:szCs w:val="24"/>
          <w:lang w:val="en-US" w:eastAsia="zh-CN"/>
        </w:rPr>
        <w:t>与研究意义</w:t>
      </w:r>
    </w:p>
    <w:p w14:paraId="005FDFAE">
      <w:pPr>
        <w:spacing w:before="312" w:beforeLines="100" w:after="156" w:afterLines="50"/>
        <w:ind w:firstLine="480" w:firstLineChars="200"/>
        <w:outlineLvl w:val="1"/>
        <w:rPr>
          <w:rFonts w:hint="eastAsia" w:ascii="黑体" w:hAnsi="Times New Roman" w:eastAsia="黑体"/>
          <w:b/>
          <w:bCs/>
          <w:sz w:val="24"/>
          <w:szCs w:val="24"/>
          <w:lang w:val="en-US" w:eastAsia="zh-CN"/>
        </w:rPr>
      </w:pPr>
      <w:r>
        <w:rPr>
          <w:rFonts w:hint="eastAsia" w:ascii="黑体" w:hAnsi="Times New Roman" w:eastAsia="黑体"/>
          <w:b/>
          <w:bCs/>
          <w:sz w:val="24"/>
          <w:szCs w:val="24"/>
          <w:lang w:val="en-US" w:eastAsia="zh-CN"/>
        </w:rPr>
        <w:t>1.1.1研究背景</w:t>
      </w:r>
    </w:p>
    <w:p w14:paraId="1FDD0726">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黑体" w:hAnsi="Times New Roman" w:eastAsia="黑体"/>
          <w:b/>
          <w:bCs/>
          <w:sz w:val="24"/>
          <w:szCs w:val="24"/>
          <w:lang w:val="en-US" w:eastAsia="zh-CN"/>
        </w:rPr>
      </w:pPr>
      <w:r>
        <w:rPr>
          <w:rFonts w:hint="eastAsia" w:asciiTheme="majorEastAsia" w:hAnsiTheme="majorEastAsia" w:eastAsiaTheme="majorEastAsia" w:cstheme="majorEastAsia"/>
          <w:sz w:val="24"/>
          <w:szCs w:val="24"/>
          <w:lang w:val="en-US" w:eastAsia="zh-CN"/>
        </w:rPr>
        <w:t xml:space="preserve">  随着我国经济发展，企业之间的相互并购是市场经济中十分活跃的经济活动，也是资本有效运营管理的重要形式之一。在当今市场的激烈竞争之下，企业通过并购去实现资本扩张、利润增长和战略升级，并且能够利用并购实现自我资源的整合及优化。回顾我国企业并购历程，既有成功案例也有失败案例，为了更好地进行企业之间的并购，有必要对企业并购的成败进行全面的分析了解，为我国未来的企业并购历程奠定更为扎实的基础。所以本文是基于企业并购过程中对其动因及财务绩效进行深入分析，分析该公司在并购过程中存在的潜在问题与风险，并且对其潜在问题与风险提出相应对策，优化自身的并购战略，促进企业更为稳定的发展。同时，本文的结果与发现也可以为同行业其他公司提供宝贵的参考价值和启示。</w:t>
      </w:r>
    </w:p>
    <w:p w14:paraId="2DAAC4A7">
      <w:pPr>
        <w:spacing w:before="312" w:beforeLines="100" w:after="156" w:afterLines="50"/>
        <w:ind w:firstLine="480" w:firstLineChars="200"/>
        <w:outlineLvl w:val="1"/>
        <w:rPr>
          <w:rFonts w:hint="eastAsia" w:ascii="黑体" w:hAnsi="Times New Roman" w:eastAsia="黑体"/>
          <w:b/>
          <w:bCs/>
          <w:sz w:val="24"/>
          <w:szCs w:val="24"/>
          <w:lang w:val="en-US" w:eastAsia="zh-CN"/>
        </w:rPr>
      </w:pPr>
      <w:r>
        <w:rPr>
          <w:rFonts w:hint="eastAsia" w:ascii="黑体" w:hAnsi="Times New Roman" w:eastAsia="黑体"/>
          <w:b/>
          <w:bCs/>
          <w:sz w:val="24"/>
          <w:szCs w:val="24"/>
          <w:lang w:val="en-US" w:eastAsia="zh-CN"/>
        </w:rPr>
        <w:t>1.1.2研究意义</w:t>
      </w:r>
    </w:p>
    <w:p w14:paraId="69FAF2EE">
      <w:pPr>
        <w:spacing w:line="400" w:lineRule="exact"/>
        <w:ind w:firstLine="480" w:firstLineChars="200"/>
        <w:rPr>
          <w:rFonts w:hint="eastAsia" w:ascii="黑体" w:hAnsi="Times New Roman" w:eastAsia="黑体"/>
          <w:b/>
          <w:bCs/>
          <w:sz w:val="24"/>
          <w:szCs w:val="24"/>
          <w:lang w:val="en-US" w:eastAsia="zh-CN"/>
        </w:rPr>
      </w:pPr>
      <w:r>
        <w:rPr>
          <w:sz w:val="24"/>
        </w:rPr>
        <w:t>本文的研究先深入理解了</w:t>
      </w:r>
      <w:r>
        <w:rPr>
          <w:rFonts w:hint="eastAsia"/>
          <w:sz w:val="24"/>
          <w:lang w:val="en-US" w:eastAsia="zh-CN"/>
        </w:rPr>
        <w:t>安井食品公司</w:t>
      </w:r>
      <w:r>
        <w:rPr>
          <w:sz w:val="24"/>
        </w:rPr>
        <w:t>并购</w:t>
      </w:r>
      <w:r>
        <w:rPr>
          <w:rFonts w:hint="eastAsia"/>
          <w:sz w:val="24"/>
          <w:lang w:val="en-US" w:eastAsia="zh-CN"/>
        </w:rPr>
        <w:t>新宏业</w:t>
      </w:r>
      <w:r>
        <w:rPr>
          <w:sz w:val="24"/>
        </w:rPr>
        <w:t>的动因，又从绩效角度探讨企业并购的影响，为并购提供了新的理论和支持。</w:t>
      </w:r>
    </w:p>
    <w:p w14:paraId="3D640CF8">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理论意义：本课题是基于企业并购过程中动因的实现程度及其财务绩效变动情况，通过对其公司财务数据进行并购前后对比系统分析，得出该企业在盈利能力、营运能力、偿债能力等方面所发生的变化，继而对其潜在问题提出相应建议及解决方法，能够丰富并购这一课题理论基础填补并购市场中的理论空白，同时也在推动着财务理论的创新与革新。</w:t>
      </w:r>
    </w:p>
    <w:p w14:paraId="554C5FD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ascii="黑体" w:hAnsi="Times New Roman" w:eastAsia="黑体"/>
          <w:b/>
          <w:bCs/>
          <w:sz w:val="24"/>
          <w:szCs w:val="24"/>
          <w:lang w:val="en-US" w:eastAsia="zh-CN"/>
        </w:rPr>
      </w:pPr>
      <w:r>
        <w:rPr>
          <w:rFonts w:hint="eastAsia" w:asciiTheme="majorEastAsia" w:hAnsiTheme="majorEastAsia" w:eastAsiaTheme="majorEastAsia" w:cstheme="majorEastAsia"/>
          <w:sz w:val="24"/>
          <w:szCs w:val="24"/>
          <w:lang w:val="en-US" w:eastAsia="zh-CN"/>
        </w:rPr>
        <w:t>现实意义：本课题通过深入分析并购所带来的财务绩效变动，能够直接为企业优化后续的并购战略、改善整合流程、加强投后管理提供科学依据和行动指南，提升企业的营运与发展能力，并且能够有效提升该企业在同行业中的竞争力。</w:t>
      </w:r>
    </w:p>
    <w:p w14:paraId="1BE4A5A4">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14" w:name="_Toc196465069"/>
      <w:bookmarkStart w:id="15" w:name="_Toc196321906"/>
      <w:r>
        <w:rPr>
          <w:rFonts w:ascii="黑体" w:hAnsi="Times New Roman" w:eastAsia="黑体"/>
          <w:b/>
          <w:bCs/>
          <w:sz w:val="24"/>
          <w:szCs w:val="24"/>
        </w:rPr>
        <w:t xml:space="preserve">1.2 </w:t>
      </w:r>
      <w:bookmarkEnd w:id="14"/>
      <w:bookmarkEnd w:id="15"/>
      <w:r>
        <w:rPr>
          <w:rFonts w:hint="eastAsia" w:ascii="黑体" w:hAnsi="Times New Roman" w:eastAsia="黑体"/>
          <w:b/>
          <w:bCs/>
          <w:sz w:val="24"/>
          <w:szCs w:val="24"/>
          <w:lang w:val="en-US" w:eastAsia="zh-CN"/>
        </w:rPr>
        <w:t>研究思路与研究方法</w:t>
      </w:r>
    </w:p>
    <w:p w14:paraId="1C93D534">
      <w:pPr>
        <w:spacing w:before="312" w:beforeLines="100" w:after="156" w:afterLines="50"/>
        <w:ind w:firstLine="480" w:firstLineChars="200"/>
        <w:outlineLvl w:val="1"/>
        <w:rPr>
          <w:rFonts w:hint="eastAsia" w:ascii="黑体" w:hAnsi="Times New Roman" w:eastAsia="黑体"/>
          <w:b/>
          <w:bCs/>
          <w:sz w:val="24"/>
          <w:szCs w:val="24"/>
          <w:lang w:val="en-US" w:eastAsia="zh-CN"/>
        </w:rPr>
      </w:pPr>
      <w:r>
        <w:rPr>
          <w:rFonts w:hint="eastAsia" w:ascii="黑体" w:hAnsi="Times New Roman" w:eastAsia="黑体"/>
          <w:b/>
          <w:bCs/>
          <w:sz w:val="24"/>
          <w:szCs w:val="24"/>
          <w:lang w:val="en-US" w:eastAsia="zh-CN"/>
        </w:rPr>
        <w:t>1.2.1研究思路</w:t>
      </w:r>
    </w:p>
    <w:p w14:paraId="4342C9B7">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本文分析安井食品并购新宏业的动因及财务绩效，主要采用文献研究法与案例分析法及财务指标分析法。选取并购前后的财务数据，从偿债能力（流动比率、速动比率等）、盈利能力（净资产收益率、销售净利率等）、营运能力（应收账款周转率、存货周转率等）及成长能力（营业收入增长率、营业利润增长率等）四个个维度出发，量化分析并购对公司财务状况的影响</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并提出并购之后对于公司财务绩效的建议及相关启示。</w:t>
      </w:r>
    </w:p>
    <w:p w14:paraId="1CB720E7">
      <w:pPr>
        <w:spacing w:before="312" w:beforeLines="100" w:after="156" w:afterLines="50"/>
        <w:ind w:firstLine="480" w:firstLineChars="200"/>
        <w:outlineLvl w:val="1"/>
        <w:rPr>
          <w:rFonts w:hint="default" w:ascii="黑体" w:hAnsi="Times New Roman" w:eastAsia="黑体"/>
          <w:b/>
          <w:bCs/>
          <w:sz w:val="24"/>
          <w:szCs w:val="24"/>
          <w:lang w:val="en-US" w:eastAsia="zh-CN"/>
        </w:rPr>
      </w:pPr>
      <w:r>
        <w:rPr>
          <w:rFonts w:hint="eastAsia" w:ascii="黑体" w:hAnsi="Times New Roman" w:eastAsia="黑体"/>
          <w:b/>
          <w:bCs/>
          <w:sz w:val="24"/>
          <w:szCs w:val="24"/>
          <w:lang w:val="en-US" w:eastAsia="zh-CN"/>
        </w:rPr>
        <w:t>1.2.2研究方法</w:t>
      </w:r>
    </w:p>
    <w:p w14:paraId="7BAC5714">
      <w:pPr>
        <w:spacing w:line="400" w:lineRule="exact"/>
        <w:ind w:firstLine="480" w:firstLineChars="200"/>
        <w:rPr>
          <w:rFonts w:ascii="Times New Roman" w:hAnsi="Times New Roman"/>
          <w:sz w:val="24"/>
          <w:szCs w:val="24"/>
        </w:rPr>
      </w:pPr>
      <w:r>
        <w:rPr>
          <w:rFonts w:hint="eastAsia" w:ascii="Times New Roman" w:hAnsi="Times New Roman"/>
          <w:sz w:val="24"/>
          <w:szCs w:val="24"/>
        </w:rPr>
        <w:t>文献研究法</w:t>
      </w:r>
      <w:r>
        <w:rPr>
          <w:rFonts w:hint="eastAsia" w:ascii="Times New Roman" w:hAnsi="Times New Roman"/>
          <w:sz w:val="24"/>
          <w:szCs w:val="24"/>
          <w:lang w:eastAsia="zh-CN"/>
        </w:rPr>
        <w:t>：</w:t>
      </w:r>
      <w:r>
        <w:rPr>
          <w:rFonts w:hint="eastAsia" w:ascii="Times New Roman" w:hAnsi="Times New Roman"/>
          <w:sz w:val="24"/>
          <w:szCs w:val="24"/>
        </w:rPr>
        <w:t>在搜集数据前期通过知网、万方数据等多网站，阅读国内学术研究者发表的并购和财务风险相关的学术成果，充分了解和掌握企业并购重组的历史和特点、现阶段的研究发展及存在的问题。</w:t>
      </w:r>
    </w:p>
    <w:p w14:paraId="21E44D27">
      <w:pPr>
        <w:spacing w:line="400" w:lineRule="exact"/>
        <w:ind w:firstLine="480" w:firstLineChars="200"/>
        <w:rPr>
          <w:rFonts w:ascii="Times New Roman" w:hAnsi="Times New Roman"/>
          <w:sz w:val="24"/>
          <w:szCs w:val="24"/>
        </w:rPr>
      </w:pPr>
      <w:r>
        <w:rPr>
          <w:rFonts w:hint="eastAsia" w:ascii="Times New Roman" w:hAnsi="Times New Roman"/>
          <w:sz w:val="24"/>
          <w:szCs w:val="24"/>
        </w:rPr>
        <w:t>案例分析法</w:t>
      </w:r>
      <w:r>
        <w:rPr>
          <w:rFonts w:hint="eastAsia" w:ascii="Times New Roman" w:hAnsi="Times New Roman"/>
          <w:sz w:val="24"/>
          <w:szCs w:val="24"/>
          <w:lang w:eastAsia="zh-CN"/>
        </w:rPr>
        <w:t>：</w:t>
      </w:r>
      <w:r>
        <w:rPr>
          <w:rFonts w:hint="eastAsia" w:ascii="Times New Roman" w:hAnsi="Times New Roman"/>
          <w:sz w:val="24"/>
          <w:szCs w:val="24"/>
        </w:rPr>
        <w:t>本文选取为</w:t>
      </w:r>
      <w:r>
        <w:rPr>
          <w:rFonts w:hint="eastAsia" w:ascii="Times New Roman" w:hAnsi="Times New Roman"/>
          <w:sz w:val="24"/>
          <w:szCs w:val="24"/>
          <w:lang w:val="en-US" w:eastAsia="zh-CN"/>
        </w:rPr>
        <w:t>安井食品公司并购新宏业</w:t>
      </w:r>
      <w:r>
        <w:rPr>
          <w:rFonts w:hint="eastAsia" w:ascii="Times New Roman" w:hAnsi="Times New Roman"/>
          <w:sz w:val="24"/>
          <w:szCs w:val="24"/>
        </w:rPr>
        <w:t>作为具体的分析对象，结合财务指标分析</w:t>
      </w:r>
      <w:r>
        <w:rPr>
          <w:rFonts w:ascii="Times New Roman" w:hAnsi="Times New Roman"/>
          <w:sz w:val="24"/>
          <w:szCs w:val="24"/>
        </w:rPr>
        <w:t>并购对其绩效的影响</w:t>
      </w:r>
      <w:r>
        <w:rPr>
          <w:rFonts w:hint="eastAsia" w:ascii="Times New Roman" w:hAnsi="Times New Roman"/>
          <w:sz w:val="24"/>
          <w:szCs w:val="24"/>
        </w:rPr>
        <w:t>，提出绩效提升建议，希望对同行其他企业的经营发展有所启示。</w:t>
      </w:r>
    </w:p>
    <w:p w14:paraId="2C5E418C">
      <w:pPr>
        <w:spacing w:line="400" w:lineRule="exact"/>
        <w:ind w:firstLine="480" w:firstLineChars="200"/>
        <w:rPr>
          <w:rFonts w:ascii="Times New Roman" w:hAnsi="Times New Roman"/>
          <w:sz w:val="24"/>
          <w:szCs w:val="24"/>
        </w:rPr>
      </w:pPr>
      <w:r>
        <w:rPr>
          <w:rFonts w:hint="eastAsia" w:ascii="Times New Roman" w:hAnsi="Times New Roman"/>
          <w:sz w:val="24"/>
          <w:szCs w:val="24"/>
        </w:rPr>
        <w:t>财务指标分析法</w:t>
      </w:r>
      <w:r>
        <w:rPr>
          <w:rFonts w:hint="eastAsia" w:ascii="Times New Roman" w:hAnsi="Times New Roman"/>
          <w:sz w:val="24"/>
          <w:szCs w:val="24"/>
          <w:lang w:eastAsia="zh-CN"/>
        </w:rPr>
        <w:t>：</w:t>
      </w:r>
      <w:r>
        <w:rPr>
          <w:rFonts w:hint="eastAsia" w:ascii="Times New Roman" w:hAnsi="Times New Roman"/>
          <w:sz w:val="24"/>
          <w:szCs w:val="24"/>
        </w:rPr>
        <w:t>本文通过对比分析</w:t>
      </w:r>
      <w:r>
        <w:rPr>
          <w:rFonts w:hint="eastAsia" w:ascii="Times New Roman" w:hAnsi="Times New Roman"/>
          <w:sz w:val="24"/>
          <w:szCs w:val="24"/>
          <w:lang w:val="en-US" w:eastAsia="zh-CN"/>
        </w:rPr>
        <w:t>安井食品公司并购新宏业</w:t>
      </w:r>
      <w:r>
        <w:rPr>
          <w:rFonts w:hint="eastAsia" w:ascii="Times New Roman" w:hAnsi="Times New Roman"/>
          <w:sz w:val="24"/>
          <w:szCs w:val="24"/>
        </w:rPr>
        <w:t>前后的各项财务绩效，通过数据对比从而分析偿债、营运、盈利和发展能力，并结合财务绩效做出相应评价。</w:t>
      </w:r>
      <w:bookmarkStart w:id="16" w:name="_Toc6518"/>
      <w:bookmarkStart w:id="17" w:name="_Toc21149"/>
      <w:r>
        <w:rPr>
          <w:rFonts w:ascii="Times New Roman" w:hAnsi="Times New Roman"/>
          <w:sz w:val="24"/>
          <w:szCs w:val="24"/>
        </w:rPr>
        <w:br w:type="page"/>
      </w:r>
    </w:p>
    <w:p w14:paraId="3BB2220F">
      <w:pPr>
        <w:tabs>
          <w:tab w:val="center" w:pos="4139"/>
          <w:tab w:val="left" w:pos="7545"/>
          <w:tab w:val="right" w:leader="middleDot" w:pos="7740"/>
        </w:tabs>
        <w:spacing w:before="312" w:beforeLines="100" w:after="312" w:afterLines="100"/>
        <w:jc w:val="center"/>
        <w:outlineLvl w:val="0"/>
        <w:rPr>
          <w:rFonts w:ascii="黑体" w:hAnsi="Times New Roman" w:eastAsia="黑体"/>
          <w:b/>
          <w:bCs/>
          <w:sz w:val="32"/>
          <w:szCs w:val="32"/>
        </w:rPr>
      </w:pPr>
      <w:bookmarkStart w:id="18" w:name="_Toc196321908"/>
      <w:bookmarkStart w:id="19" w:name="_Toc196465071"/>
      <w:r>
        <w:rPr>
          <w:rFonts w:ascii="黑体" w:hAnsi="Times New Roman" w:eastAsia="黑体"/>
          <w:b/>
          <w:bCs/>
          <w:sz w:val="32"/>
          <w:szCs w:val="32"/>
        </w:rPr>
        <w:t>第2章 并购</w:t>
      </w:r>
      <w:r>
        <w:rPr>
          <w:rFonts w:hint="eastAsia" w:ascii="黑体" w:hAnsi="Times New Roman" w:eastAsia="黑体"/>
          <w:b/>
          <w:bCs/>
          <w:sz w:val="32"/>
          <w:szCs w:val="32"/>
          <w:lang w:val="en-US" w:eastAsia="zh-CN"/>
        </w:rPr>
        <w:t>相关</w:t>
      </w:r>
      <w:r>
        <w:rPr>
          <w:rFonts w:ascii="黑体" w:hAnsi="Times New Roman" w:eastAsia="黑体"/>
          <w:b/>
          <w:bCs/>
          <w:sz w:val="32"/>
          <w:szCs w:val="32"/>
        </w:rPr>
        <w:t>理论概述</w:t>
      </w:r>
      <w:bookmarkEnd w:id="16"/>
      <w:bookmarkEnd w:id="17"/>
      <w:bookmarkEnd w:id="18"/>
      <w:bookmarkEnd w:id="19"/>
    </w:p>
    <w:p w14:paraId="5DA4E044">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20" w:name="_Toc196465072"/>
      <w:bookmarkStart w:id="21" w:name="_Toc1638"/>
      <w:bookmarkStart w:id="22" w:name="_Toc134"/>
      <w:bookmarkStart w:id="23" w:name="_Toc196321909"/>
      <w:r>
        <w:rPr>
          <w:rFonts w:ascii="黑体" w:hAnsi="Times New Roman" w:eastAsia="黑体"/>
          <w:b/>
          <w:bCs/>
          <w:sz w:val="24"/>
          <w:szCs w:val="24"/>
        </w:rPr>
        <w:t>2.1 并购</w:t>
      </w:r>
      <w:bookmarkEnd w:id="20"/>
      <w:bookmarkEnd w:id="21"/>
      <w:bookmarkEnd w:id="22"/>
      <w:bookmarkEnd w:id="23"/>
      <w:r>
        <w:rPr>
          <w:rFonts w:hint="eastAsia" w:ascii="黑体" w:hAnsi="Times New Roman" w:eastAsia="黑体"/>
          <w:b/>
          <w:bCs/>
          <w:sz w:val="24"/>
          <w:szCs w:val="24"/>
          <w:lang w:val="en-US" w:eastAsia="zh-CN"/>
        </w:rPr>
        <w:t>概论</w:t>
      </w:r>
    </w:p>
    <w:p w14:paraId="77B79D58">
      <w:pPr>
        <w:keepNext w:val="0"/>
        <w:keepLines w:val="0"/>
        <w:widowControl/>
        <w:suppressLineNumbers w:val="0"/>
        <w:ind w:firstLine="480" w:firstLineChars="200"/>
        <w:jc w:val="left"/>
        <w:rPr>
          <w:rFonts w:ascii="Times New Roman" w:hAnsi="Times New Roman"/>
          <w:sz w:val="24"/>
          <w:szCs w:val="24"/>
        </w:rPr>
      </w:pPr>
      <w:r>
        <w:rPr>
          <w:rFonts w:hint="eastAsia" w:ascii="Times New Roman" w:hAnsi="Times New Roman"/>
          <w:sz w:val="24"/>
          <w:szCs w:val="24"/>
          <w:lang w:val="en-US" w:eastAsia="zh-CN"/>
        </w:rPr>
        <w:t>在企业发展的不同阶段里，并购可以作为帮助企业实现快速成长及经济转型的重要发展战略</w:t>
      </w:r>
      <w:r>
        <w:rPr>
          <w:rFonts w:hint="eastAsia" w:ascii="Times New Roman" w:hAnsi="Times New Roman" w:cs="Times New Roman"/>
          <w:sz w:val="24"/>
          <w:szCs w:val="24"/>
          <w:lang w:val="en-US" w:eastAsia="zh-CN"/>
        </w:rPr>
        <w:t>。并购包括兼并（Merger）和收购（Acquisition）两种基本形式。兼并是指两个或多个企业合并为一个新企业，原企业法人地位消失。兼并后，一家企业吸收其他企业，被吸收企业解散，或者两家或多家企业合并成立一家新企业。收购是指一家企业通过购买目标企业的股权或资产获得控制权，目标企业法人地位可能保留。收购后，收购企业成为目标企业的控股股东或全资股东。</w:t>
      </w:r>
      <w:r>
        <w:rPr>
          <w:rFonts w:ascii="Times New Roman" w:hAnsi="Times New Roman"/>
          <w:sz w:val="24"/>
          <w:szCs w:val="24"/>
        </w:rPr>
        <w:t>企业并购有多种类型，其中</w:t>
      </w:r>
      <w:r>
        <w:rPr>
          <w:rFonts w:hint="eastAsia" w:ascii="Times New Roman" w:hAnsi="Times New Roman"/>
          <w:sz w:val="24"/>
          <w:szCs w:val="24"/>
          <w:lang w:val="en-US" w:eastAsia="zh-CN"/>
        </w:rPr>
        <w:t>主要三个并购称为</w:t>
      </w:r>
      <w:r>
        <w:rPr>
          <w:rFonts w:ascii="Times New Roman" w:hAnsi="Times New Roman"/>
          <w:sz w:val="24"/>
          <w:szCs w:val="24"/>
        </w:rPr>
        <w:t>横向并购</w:t>
      </w:r>
      <w:r>
        <w:rPr>
          <w:rFonts w:hint="eastAsia" w:ascii="Times New Roman" w:hAnsi="Times New Roman"/>
          <w:sz w:val="24"/>
          <w:szCs w:val="24"/>
          <w:lang w:eastAsia="zh-CN"/>
        </w:rPr>
        <w:t>、</w:t>
      </w:r>
      <w:r>
        <w:rPr>
          <w:rFonts w:hint="eastAsia" w:ascii="Times New Roman" w:hAnsi="Times New Roman"/>
          <w:sz w:val="24"/>
          <w:szCs w:val="24"/>
          <w:lang w:val="en-US" w:eastAsia="zh-CN"/>
        </w:rPr>
        <w:t>纵向并购和混合并购</w:t>
      </w:r>
      <w:r>
        <w:rPr>
          <w:rFonts w:ascii="Times New Roman" w:hAnsi="Times New Roman"/>
          <w:sz w:val="24"/>
          <w:szCs w:val="24"/>
        </w:rPr>
        <w:t>。</w:t>
      </w:r>
      <w:r>
        <w:rPr>
          <w:rFonts w:hint="eastAsia" w:ascii="Times New Roman" w:hAnsi="Times New Roman"/>
          <w:sz w:val="24"/>
          <w:szCs w:val="24"/>
          <w:lang w:val="en-US" w:eastAsia="zh-CN"/>
        </w:rPr>
        <w:t>安井食品并购新宏业则</w:t>
      </w:r>
      <w:r>
        <w:rPr>
          <w:rFonts w:ascii="Times New Roman" w:hAnsi="Times New Roman"/>
          <w:sz w:val="24"/>
          <w:szCs w:val="24"/>
        </w:rPr>
        <w:t>属于</w:t>
      </w:r>
      <w:r>
        <w:rPr>
          <w:rFonts w:hint="eastAsia" w:ascii="Times New Roman" w:hAnsi="Times New Roman"/>
          <w:sz w:val="24"/>
          <w:szCs w:val="24"/>
          <w:lang w:val="en-US" w:eastAsia="zh-CN"/>
        </w:rPr>
        <w:t>纵向并购</w:t>
      </w:r>
      <w:r>
        <w:rPr>
          <w:rFonts w:ascii="Times New Roman" w:hAnsi="Times New Roman"/>
          <w:sz w:val="24"/>
          <w:szCs w:val="24"/>
        </w:rPr>
        <w:t>。</w:t>
      </w:r>
    </w:p>
    <w:p w14:paraId="795715DE">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24" w:name="_Toc11949"/>
      <w:bookmarkStart w:id="25" w:name="_Toc196465073"/>
      <w:bookmarkStart w:id="26" w:name="_Toc196321910"/>
      <w:bookmarkStart w:id="27" w:name="_Toc27753"/>
      <w:r>
        <w:rPr>
          <w:rFonts w:ascii="黑体" w:hAnsi="Times New Roman" w:eastAsia="黑体"/>
          <w:b/>
          <w:bCs/>
          <w:sz w:val="24"/>
          <w:szCs w:val="24"/>
        </w:rPr>
        <w:t xml:space="preserve">2.2 </w:t>
      </w:r>
      <w:r>
        <w:rPr>
          <w:rFonts w:hint="eastAsia" w:ascii="黑体" w:hAnsi="Times New Roman" w:eastAsia="黑体"/>
          <w:b/>
          <w:bCs/>
          <w:sz w:val="24"/>
          <w:szCs w:val="24"/>
          <w:lang w:val="en-US" w:eastAsia="zh-CN"/>
        </w:rPr>
        <w:t>并购</w:t>
      </w:r>
      <w:r>
        <w:rPr>
          <w:rFonts w:ascii="黑体" w:hAnsi="Times New Roman" w:eastAsia="黑体"/>
          <w:b/>
          <w:bCs/>
          <w:sz w:val="24"/>
          <w:szCs w:val="24"/>
        </w:rPr>
        <w:t>绩效</w:t>
      </w:r>
      <w:bookmarkEnd w:id="24"/>
      <w:bookmarkEnd w:id="25"/>
      <w:bookmarkEnd w:id="26"/>
      <w:bookmarkEnd w:id="27"/>
      <w:r>
        <w:rPr>
          <w:rFonts w:hint="eastAsia" w:ascii="黑体" w:hAnsi="Times New Roman" w:eastAsia="黑体"/>
          <w:b/>
          <w:bCs/>
          <w:sz w:val="24"/>
          <w:szCs w:val="24"/>
          <w:lang w:val="en-US" w:eastAsia="zh-CN"/>
        </w:rPr>
        <w:t>概述及分析方法</w:t>
      </w:r>
    </w:p>
    <w:p w14:paraId="619DA759">
      <w:pPr>
        <w:spacing w:before="312" w:beforeLines="100" w:after="156" w:afterLines="50"/>
        <w:ind w:firstLine="480" w:firstLineChars="200"/>
        <w:outlineLvl w:val="1"/>
        <w:rPr>
          <w:rFonts w:hint="eastAsia" w:ascii="黑体" w:hAnsi="Times New Roman" w:eastAsia="黑体"/>
          <w:b/>
          <w:bCs/>
          <w:sz w:val="24"/>
          <w:szCs w:val="24"/>
          <w:lang w:val="en-US" w:eastAsia="zh-CN"/>
        </w:rPr>
      </w:pPr>
      <w:r>
        <w:rPr>
          <w:rFonts w:hint="eastAsia" w:ascii="黑体" w:hAnsi="Times New Roman" w:eastAsia="黑体"/>
          <w:b/>
          <w:bCs/>
          <w:sz w:val="24"/>
          <w:szCs w:val="24"/>
          <w:lang w:val="en-US" w:eastAsia="zh-CN"/>
        </w:rPr>
        <w:t>2.2.1并购绩效概述</w:t>
      </w:r>
    </w:p>
    <w:p w14:paraId="3C839820">
      <w:pPr>
        <w:spacing w:line="400" w:lineRule="exact"/>
        <w:ind w:firstLine="480" w:firstLineChars="200"/>
      </w:pPr>
      <w:r>
        <w:rPr>
          <w:rFonts w:hint="eastAsia" w:ascii="Times New Roman" w:hAnsi="Times New Roman" w:cs="Times New Roman"/>
          <w:sz w:val="24"/>
          <w:szCs w:val="24"/>
          <w:lang w:val="en-US" w:eastAsia="zh-CN"/>
        </w:rPr>
        <w:t>财务绩效评价是指运用科学的方法和指标体系，对企业在一定时期内的财务状况、经营成果和现金流量进行综合评价，以衡量企业的经营效率和盈利能力。财务绩效评价是企业绩效管理的重要组成部分，也是评估企业价值创造能力的重要手段。对于企业并购而言，财务绩效评价的主要目的是评估并购对企业财务状况和经营业绩的影响，判断并购是否实现了预期的协同效应和价值创造。通过对比并购前后企业财务指标的变化，可以客观评价并购的成效和存在的问题。</w:t>
      </w:r>
    </w:p>
    <w:p w14:paraId="59EA50FA">
      <w:pPr>
        <w:spacing w:before="312" w:beforeLines="100" w:after="156" w:afterLines="50"/>
        <w:ind w:firstLine="480" w:firstLineChars="200"/>
        <w:outlineLvl w:val="1"/>
        <w:rPr>
          <w:rFonts w:hint="default" w:ascii="黑体" w:hAnsi="Times New Roman" w:eastAsia="黑体"/>
          <w:b/>
          <w:bCs/>
          <w:sz w:val="24"/>
          <w:szCs w:val="24"/>
          <w:lang w:val="en-US" w:eastAsia="zh-CN"/>
        </w:rPr>
      </w:pPr>
      <w:r>
        <w:rPr>
          <w:rFonts w:hint="eastAsia" w:ascii="黑体" w:hAnsi="Times New Roman" w:eastAsia="黑体"/>
          <w:b/>
          <w:bCs/>
          <w:sz w:val="24"/>
          <w:szCs w:val="24"/>
          <w:lang w:val="en-US" w:eastAsia="zh-CN"/>
        </w:rPr>
        <w:t>2.2.2财务指标分析方法</w:t>
      </w:r>
    </w:p>
    <w:p w14:paraId="1897F4E7">
      <w:pPr>
        <w:keepNext w:val="0"/>
        <w:keepLines w:val="0"/>
        <w:widowControl/>
        <w:suppressLineNumbers w:val="0"/>
        <w:ind w:firstLine="480" w:firstLineChars="200"/>
        <w:jc w:val="left"/>
        <w:rPr>
          <w:rFonts w:hint="eastAsia" w:ascii="Times New Roman" w:hAnsi="Times New Roman" w:cs="Times New Roman"/>
          <w:sz w:val="24"/>
          <w:szCs w:val="24"/>
          <w:lang w:val="en-US" w:eastAsia="zh-CN"/>
        </w:rPr>
      </w:pPr>
      <w:r>
        <w:rPr>
          <w:rFonts w:hint="eastAsia" w:ascii="Times New Roman" w:hAnsi="Times New Roman"/>
          <w:sz w:val="24"/>
          <w:szCs w:val="24"/>
        </w:rPr>
        <w:t>偿债能力体现出企业偿还债务的水平，囊括长期及短期的偿债</w:t>
      </w: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包括短期偿债能力和长期偿债能力。短期偿债能力主要通过流动比率、速动比率等指标衡量；长期偿债能力主要通过资产负债率、产权比率、利息保障倍数等指标衡量。</w:t>
      </w:r>
    </w:p>
    <w:p w14:paraId="00FF2142">
      <w:pPr>
        <w:keepNext w:val="0"/>
        <w:keepLines w:val="0"/>
        <w:widowControl/>
        <w:suppressLineNumbers w:val="0"/>
        <w:ind w:firstLine="480" w:firstLineChars="200"/>
        <w:jc w:val="left"/>
        <w:rPr>
          <w:rFonts w:hint="eastAsia" w:ascii="Times New Roman" w:hAnsi="Times New Roman" w:cs="Times New Roman"/>
          <w:kern w:val="2"/>
          <w:sz w:val="24"/>
          <w:szCs w:val="24"/>
          <w:lang w:val="en-US" w:eastAsia="zh-CN" w:bidi="ar-SA"/>
        </w:rPr>
      </w:pPr>
      <w:r>
        <w:rPr>
          <w:rFonts w:hint="eastAsia" w:ascii="Times New Roman" w:hAnsi="Times New Roman"/>
          <w:sz w:val="24"/>
          <w:szCs w:val="24"/>
        </w:rPr>
        <w:t>营运能力体现企业在资产的管理及运用</w:t>
      </w:r>
      <w:r>
        <w:rPr>
          <w:rFonts w:hint="eastAsia" w:ascii="Times New Roman" w:hAnsi="Times New Roman" w:eastAsia="宋体" w:cs="Times New Roman"/>
          <w:kern w:val="2"/>
          <w:sz w:val="24"/>
          <w:szCs w:val="24"/>
          <w:lang w:val="en-US" w:eastAsia="zh-CN" w:bidi="ar-SA"/>
        </w:rPr>
        <w:t>上的水平，采用存货周转天数、资产周转率等指标进行评价，呈现企业经营效率及管理水平状况。主要通过各项资产的周转率指标衡量。周转率越高，说明资产管理效率越高，资金周转速度越快。</w:t>
      </w:r>
      <w:r>
        <w:rPr>
          <w:rFonts w:hint="eastAsia" w:ascii="Times New Roman" w:hAnsi="Times New Roman" w:cs="Times New Roman"/>
          <w:kern w:val="2"/>
          <w:sz w:val="24"/>
          <w:szCs w:val="24"/>
          <w:lang w:val="en-US" w:eastAsia="zh-CN" w:bidi="ar-SA"/>
        </w:rPr>
        <w:t xml:space="preserve"> </w:t>
      </w:r>
    </w:p>
    <w:p w14:paraId="6EB353A9">
      <w:pPr>
        <w:keepNext w:val="0"/>
        <w:keepLines w:val="0"/>
        <w:widowControl/>
        <w:suppressLineNumbers w:val="0"/>
        <w:ind w:firstLine="480" w:firstLineChars="200"/>
        <w:jc w:val="left"/>
        <w:rPr>
          <w:rFonts w:hint="eastAsia" w:ascii="Times New Roman" w:hAnsi="Times New Roman" w:eastAsia="宋体"/>
          <w:sz w:val="24"/>
          <w:szCs w:val="24"/>
          <w:lang w:eastAsia="zh-CN"/>
        </w:rPr>
      </w:pPr>
      <w:r>
        <w:rPr>
          <w:rFonts w:hint="eastAsia" w:ascii="Times New Roman" w:hAnsi="Times New Roman"/>
          <w:sz w:val="24"/>
          <w:szCs w:val="24"/>
        </w:rPr>
        <w:t>盈利能力表明企业日常经营赚取利润的本事，主要对利润率、收益率、净利率等指标展开分析</w:t>
      </w:r>
      <w:r>
        <w:rPr>
          <w:rFonts w:hint="eastAsia" w:ascii="Times New Roman" w:hAnsi="Times New Roman"/>
          <w:sz w:val="24"/>
          <w:szCs w:val="24"/>
          <w:lang w:eastAsia="zh-CN"/>
        </w:rPr>
        <w:t>。</w:t>
      </w:r>
      <w:r>
        <w:rPr>
          <w:rFonts w:hint="eastAsia" w:ascii="Times New Roman" w:hAnsi="Times New Roman" w:cs="Times New Roman"/>
          <w:kern w:val="2"/>
          <w:sz w:val="24"/>
          <w:szCs w:val="24"/>
          <w:lang w:val="en-US" w:eastAsia="zh-CN" w:bidi="ar-SA"/>
        </w:rPr>
        <w:t xml:space="preserve">            </w:t>
      </w:r>
    </w:p>
    <w:p w14:paraId="2DC003EC">
      <w:pPr>
        <w:spacing w:line="400" w:lineRule="exact"/>
        <w:ind w:firstLine="480" w:firstLineChars="200"/>
        <w:rPr>
          <w:rFonts w:hint="eastAsia" w:ascii="Times New Roman" w:hAnsi="Times New Roman" w:cs="Times New Roman"/>
          <w:sz w:val="24"/>
          <w:szCs w:val="24"/>
        </w:rPr>
      </w:pPr>
      <w:bookmarkStart w:id="28" w:name="_Toc9513"/>
      <w:bookmarkStart w:id="29" w:name="_Toc32606711"/>
      <w:bookmarkStart w:id="30" w:name="_Toc37711133"/>
      <w:bookmarkStart w:id="31" w:name="_Toc17199"/>
      <w:r>
        <w:rPr>
          <w:rFonts w:hint="eastAsia" w:ascii="Times New Roman" w:hAnsi="Times New Roman" w:cs="Times New Roman"/>
          <w:sz w:val="24"/>
          <w:szCs w:val="24"/>
          <w:lang w:val="en-US" w:eastAsia="zh-CN"/>
        </w:rPr>
        <w:t>发展能力是指企业未来的成长潜力和可持续发展能力，主要通过营业收入增长率、净利润增长率、资产增长率等指标衡量。</w:t>
      </w:r>
    </w:p>
    <w:p w14:paraId="1B4420EE">
      <w:pPr>
        <w:spacing w:line="400" w:lineRule="exact"/>
        <w:ind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br w:type="page"/>
      </w:r>
    </w:p>
    <w:p w14:paraId="0E51FDA5">
      <w:pPr>
        <w:tabs>
          <w:tab w:val="center" w:pos="4139"/>
          <w:tab w:val="left" w:pos="7545"/>
          <w:tab w:val="right" w:leader="middleDot" w:pos="7740"/>
        </w:tabs>
        <w:spacing w:before="312" w:beforeLines="100" w:after="312" w:afterLines="100"/>
        <w:jc w:val="center"/>
        <w:outlineLvl w:val="0"/>
        <w:rPr>
          <w:rFonts w:hint="default" w:ascii="黑体" w:hAnsi="Times New Roman" w:eastAsia="黑体"/>
          <w:b/>
          <w:bCs/>
          <w:sz w:val="32"/>
          <w:szCs w:val="32"/>
          <w:lang w:val="en-US" w:eastAsia="zh-CN"/>
        </w:rPr>
      </w:pPr>
      <w:bookmarkStart w:id="32" w:name="_Toc196321912"/>
      <w:bookmarkStart w:id="33" w:name="_Toc196465075"/>
      <w:r>
        <w:rPr>
          <w:rFonts w:ascii="黑体" w:hAnsi="Times New Roman" w:eastAsia="黑体"/>
          <w:b/>
          <w:bCs/>
          <w:sz w:val="32"/>
          <w:szCs w:val="32"/>
        </w:rPr>
        <w:t xml:space="preserve">第3章 </w:t>
      </w:r>
      <w:bookmarkEnd w:id="28"/>
      <w:bookmarkEnd w:id="29"/>
      <w:bookmarkEnd w:id="30"/>
      <w:bookmarkEnd w:id="31"/>
      <w:bookmarkEnd w:id="32"/>
      <w:bookmarkEnd w:id="33"/>
      <w:r>
        <w:rPr>
          <w:rFonts w:hint="eastAsia" w:ascii="黑体" w:hAnsi="Times New Roman" w:eastAsia="黑体"/>
          <w:b/>
          <w:bCs/>
          <w:sz w:val="32"/>
          <w:szCs w:val="32"/>
          <w:lang w:val="en-US" w:eastAsia="zh-CN"/>
        </w:rPr>
        <w:t>安井食品并购新宏业动因分析</w:t>
      </w:r>
    </w:p>
    <w:p w14:paraId="225D249B">
      <w:pPr>
        <w:spacing w:before="312" w:beforeLines="100" w:after="156" w:afterLines="50"/>
        <w:ind w:firstLine="480" w:firstLineChars="200"/>
        <w:outlineLvl w:val="1"/>
        <w:rPr>
          <w:rFonts w:hint="eastAsia" w:ascii="黑体" w:hAnsi="Times New Roman" w:eastAsia="黑体"/>
          <w:b/>
          <w:bCs/>
          <w:sz w:val="24"/>
          <w:szCs w:val="24"/>
        </w:rPr>
      </w:pPr>
      <w:bookmarkStart w:id="34" w:name="_Toc32606712"/>
      <w:bookmarkStart w:id="35" w:name="_Toc37711134"/>
      <w:bookmarkStart w:id="36" w:name="_Toc2859"/>
      <w:bookmarkStart w:id="37" w:name="_Toc3537"/>
      <w:bookmarkStart w:id="38" w:name="_Toc196321913"/>
      <w:bookmarkStart w:id="39" w:name="_Toc196465076"/>
      <w:r>
        <w:rPr>
          <w:rFonts w:ascii="黑体" w:hAnsi="Times New Roman" w:eastAsia="黑体"/>
          <w:b/>
          <w:bCs/>
          <w:sz w:val="24"/>
          <w:szCs w:val="24"/>
        </w:rPr>
        <w:t>3.1</w:t>
      </w:r>
      <w:bookmarkEnd w:id="34"/>
      <w:bookmarkEnd w:id="35"/>
      <w:r>
        <w:rPr>
          <w:rFonts w:ascii="黑体" w:hAnsi="Times New Roman" w:eastAsia="黑体"/>
          <w:b/>
          <w:bCs/>
          <w:sz w:val="24"/>
          <w:szCs w:val="24"/>
        </w:rPr>
        <w:t xml:space="preserve"> </w:t>
      </w:r>
      <w:r>
        <w:rPr>
          <w:rFonts w:hint="eastAsia" w:ascii="黑体" w:hAnsi="Times New Roman" w:eastAsia="黑体"/>
          <w:b/>
          <w:bCs/>
          <w:sz w:val="24"/>
          <w:szCs w:val="24"/>
        </w:rPr>
        <w:t>并购企业简介</w:t>
      </w:r>
      <w:bookmarkEnd w:id="36"/>
      <w:bookmarkEnd w:id="37"/>
      <w:bookmarkEnd w:id="38"/>
      <w:bookmarkEnd w:id="39"/>
    </w:p>
    <w:p w14:paraId="2FEAFCAC">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3.1.1并购方安井食品简介</w:t>
      </w:r>
    </w:p>
    <w:p w14:paraId="22051C95">
      <w:pPr>
        <w:keepNext w:val="0"/>
        <w:keepLines w:val="0"/>
        <w:widowControl/>
        <w:suppressLineNumbers w:val="0"/>
        <w:ind w:firstLine="480" w:firstLineChars="200"/>
        <w:jc w:val="left"/>
        <w:rPr>
          <w:rFonts w:hint="eastAsia" w:ascii="Times New Roman" w:hAnsi="Times New Roman" w:cs="Times New Roman"/>
          <w:sz w:val="24"/>
          <w:szCs w:val="24"/>
        </w:rPr>
      </w:pPr>
      <w:r>
        <w:rPr>
          <w:rFonts w:hint="eastAsia" w:ascii="Times New Roman" w:hAnsi="Times New Roman" w:cs="Times New Roman"/>
          <w:sz w:val="24"/>
          <w:szCs w:val="24"/>
          <w:lang w:val="en-US" w:eastAsia="zh-CN"/>
        </w:rPr>
        <w:t>安井食品股份有限公司成立于2001年，总部位于福建厦门，是一家专业从事速冻食品研发、生产和销售的现代化企业。公司主营业务包括速冻火锅料制品（如鱼丸、虾丸、蟹棒、鱼豆腐等）和速冻面米制品（如水饺、馄饨、汤圆、粽子等）。经过二十多年的发展，安井食品已成为中国速冻食品行业的领军企业之一。截至2020年末，安井食品拥有厦门、四川、辽宁、河南、湖北等多个生产基地，总资产70.96亿元，营业收入69.65亿元，净利润6.04亿元。公司产品涵盖8大系列、200多个品种，销售网络遍布全国31个省、市、自治区，拥有经销商2000多家，终端销售网点超过30万个。安井食品坚持"以质量求生存，以创新求发展"的经营理念，建立了完善的质量管理体系，通过了ISO9001质量管理体系认证、ISO22000食品安全管理体系认证和HACCP认证。公司设有国家级技术中心和博士后科研工作站，每年投入营业收入的3%以上用于研发创新，不断推出适应市场需求的新产品。</w:t>
      </w:r>
    </w:p>
    <w:p w14:paraId="4628BACB">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3.1.2被并购方新宏业企业简介</w:t>
      </w:r>
    </w:p>
    <w:p w14:paraId="77B42521">
      <w:pPr>
        <w:keepNext w:val="0"/>
        <w:keepLines w:val="0"/>
        <w:widowControl/>
        <w:suppressLineNumbers w:val="0"/>
        <w:ind w:firstLine="480" w:firstLineChars="200"/>
        <w:jc w:val="left"/>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新宏业食品有限公司是一家区域性速冻食品企业，主要生产和销售速冻火锅料、速冻调理肉制品等产品。公司在华东地区拥有较高的市场知名度和稳定的客户群体，产品主要销往江苏、浙江、上海等地，在区域市场具有较强的竞争力。新宏业拥有现代化的生产基地，配备了先进的生产设备和完善的质量检测系统。公司注重产品质量和食品安全，建立了严格的质量管理体系，产品质量稳定，市场口碑良好。在区域市场深耕多年，新宏业积累了丰富的渠道资源和客户关系，与众多大型商超、餐饮企业建立了长期合作关系。新宏业年营业收入约5-8亿元，在华东地区速冻食品市场占有一席之地。然而，受限于资金实力和品牌影响力，其市场拓展能力相对有限。通过与安井食品的合作，新宏业希望借助安井的品牌优势、全国性销售网络和强大的资金支持，突破区域限制，实现业务规模的快速增长和市场版图的扩张。</w:t>
      </w:r>
    </w:p>
    <w:p w14:paraId="1EFBAD64">
      <w:pPr>
        <w:widowControl/>
        <w:spacing w:before="312" w:beforeLines="100" w:after="156" w:afterLines="50"/>
        <w:ind w:firstLine="480" w:firstLineChars="200"/>
        <w:jc w:val="left"/>
        <w:outlineLvl w:val="1"/>
        <w:rPr>
          <w:rFonts w:ascii="Times New Roman" w:hAnsi="Times New Roman" w:eastAsia="黑体"/>
          <w:b/>
          <w:bCs/>
          <w:kern w:val="0"/>
          <w:sz w:val="24"/>
          <w:lang w:bidi="ar"/>
        </w:rPr>
      </w:pPr>
      <w:bookmarkStart w:id="40" w:name="_Toc196321914"/>
      <w:bookmarkStart w:id="41" w:name="_Toc31443"/>
      <w:bookmarkStart w:id="42" w:name="_Toc196465077"/>
      <w:r>
        <w:rPr>
          <w:rFonts w:ascii="Times New Roman" w:hAnsi="Times New Roman" w:eastAsia="黑体"/>
          <w:b/>
          <w:bCs/>
          <w:kern w:val="0"/>
          <w:sz w:val="24"/>
          <w:lang w:bidi="ar"/>
        </w:rPr>
        <w:t>3.2 并购过程</w:t>
      </w:r>
      <w:bookmarkEnd w:id="40"/>
      <w:bookmarkEnd w:id="41"/>
      <w:bookmarkEnd w:id="42"/>
    </w:p>
    <w:p w14:paraId="02D8B8AA">
      <w:pPr>
        <w:keepNext w:val="0"/>
        <w:keepLines w:val="0"/>
        <w:widowControl/>
        <w:suppressLineNumbers w:val="0"/>
        <w:ind w:firstLine="480" w:firstLineChars="200"/>
        <w:jc w:val="left"/>
        <w:rPr>
          <w:rFonts w:hint="eastAsia" w:ascii="Times New Roman" w:hAnsi="Times New Roman" w:cs="Times New Roman"/>
          <w:sz w:val="24"/>
          <w:szCs w:val="24"/>
          <w:lang w:val="en-US" w:eastAsia="zh-CN"/>
        </w:rPr>
      </w:pPr>
      <w:bookmarkStart w:id="43" w:name="_Toc16287"/>
      <w:bookmarkStart w:id="44" w:name="_Toc4252"/>
      <w:r>
        <w:rPr>
          <w:rFonts w:hint="default" w:ascii="Times New Roman" w:hAnsi="Times New Roman" w:cs="Times New Roman"/>
          <w:sz w:val="24"/>
          <w:szCs w:val="24"/>
          <w:lang w:val="en-US" w:eastAsia="zh-CN"/>
        </w:rPr>
        <w:t>2021年，国内速冻食品行业龙头安井食品为推动预制菜战略布局、强化上游供应链控制，启动了对湖北新宏业食品有限公司的并购。新宏业作为淡水小龙虾和鱼糜制品的重要生产商，其在小龙虾预制菜领域的产能、技术和市场渠道，与安井食品加速发展预制菜业务的战略需求高度契合。此次并购并非一次性完成，而是分步骤实施的战略性控股收购。</w:t>
      </w:r>
    </w:p>
    <w:p w14:paraId="0F631684">
      <w:pPr>
        <w:keepNext w:val="0"/>
        <w:keepLines w:val="0"/>
        <w:widowControl/>
        <w:suppressLineNumbers w:val="0"/>
        <w:ind w:firstLine="480" w:firstLineChars="20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并购过程主要分为两个关键阶段：</w:t>
      </w:r>
    </w:p>
    <w:p w14:paraId="5CE226D3">
      <w:pPr>
        <w:keepNext w:val="0"/>
        <w:keepLines w:val="0"/>
        <w:widowControl/>
        <w:suppressLineNumbers w:val="0"/>
        <w:ind w:firstLine="480" w:firstLineChars="20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第一阶段为 初步控股收购。2021年8月，安井食品发布公告，以人民币6.44亿元的交易对价，收购新宏业90%的股权，成为其控股股东。此次收购设定了明确的业绩承诺条款，新宏业原股东承诺2021年至2023年度的净利润分别不低于7，300万元、8，000万元和9，000万元。此举标志着安井正式将新宏业纳入旗下预制菜及原料供应链的核心板块。</w:t>
      </w:r>
    </w:p>
    <w:p w14:paraId="7324924E">
      <w:pPr>
        <w:keepNext w:val="0"/>
        <w:keepLines w:val="0"/>
        <w:widowControl/>
        <w:suppressLineNumbers w:val="0"/>
        <w:ind w:firstLine="480" w:firstLineChars="20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第二阶段为 后续增资与整合。在完成控股后，安井食品于2022年根据新宏业经营发展需要，分两次向其增资合计约4，500万元，持股比例微升至约91.13%。这一举措不仅提供了资金支持，更体现了安井对新宏业业务发展的坚定信心和深度绑定意愿。新宏业在并购后表现突出，连续超额完成业绩承诺，尤其在2022年净利润大幅超越目标，验证了其强大的盈利能力和与安井的协同潜力。</w:t>
      </w:r>
    </w:p>
    <w:p w14:paraId="3C888041">
      <w:pPr>
        <w:keepNext w:val="0"/>
        <w:keepLines w:val="0"/>
        <w:widowControl/>
        <w:suppressLineNumbers w:val="0"/>
        <w:ind w:firstLine="480" w:firstLineChars="200"/>
        <w:jc w:val="left"/>
      </w:pPr>
      <w:r>
        <w:rPr>
          <w:rFonts w:hint="default" w:ascii="Times New Roman" w:hAnsi="Times New Roman" w:cs="Times New Roman"/>
          <w:sz w:val="24"/>
          <w:szCs w:val="24"/>
          <w:lang w:val="en-US" w:eastAsia="zh-CN"/>
        </w:rPr>
        <w:t>总结而言，安井通过分步实施，先以90%股权取得控制权并设置业绩对赌以控制风险，再通过后续增资强化支持与协同，实现了平稳过渡和有效整合。从效果看，并购迅速补强了安井在小龙虾这一预制菜单品领域的产能与产品线，并通过新宏业优质的淡水鱼糜资源，增强了上游原料的自主可控性，平滑了成本波动。同时，安井强大的全国性销售网络为新宏业的产品打开了更广阔的市场空间，协同效应显著。此次成功并购，不仅为安井食品带来了即时的业绩增长点，更为其在竞争日趋激烈的预制菜赛道构建了坚实的供应链壁垒和先发优势，是公司从速冻火锅料龙头向预制菜平台型企业转型的关键一步。</w:t>
      </w:r>
    </w:p>
    <w:p w14:paraId="6A4D5D65">
      <w:pPr>
        <w:widowControl/>
        <w:spacing w:before="312" w:beforeLines="100" w:after="156" w:afterLines="50"/>
        <w:ind w:firstLine="480" w:firstLineChars="200"/>
        <w:jc w:val="left"/>
        <w:outlineLvl w:val="1"/>
        <w:rPr>
          <w:rFonts w:hint="default" w:ascii="Times New Roman" w:hAnsi="Times New Roman" w:eastAsia="黑体"/>
          <w:b/>
          <w:bCs/>
          <w:kern w:val="0"/>
          <w:sz w:val="24"/>
          <w:lang w:val="en-US" w:eastAsia="zh-CN" w:bidi="ar"/>
        </w:rPr>
      </w:pPr>
      <w:r>
        <w:rPr>
          <w:rFonts w:ascii="Times New Roman" w:hAnsi="Times New Roman" w:eastAsia="黑体"/>
          <w:b/>
          <w:bCs/>
          <w:kern w:val="0"/>
          <w:sz w:val="24"/>
          <w:lang w:bidi="ar"/>
        </w:rPr>
        <w:t>3.</w:t>
      </w:r>
      <w:r>
        <w:rPr>
          <w:rFonts w:hint="eastAsia" w:ascii="Times New Roman" w:hAnsi="Times New Roman" w:eastAsia="黑体"/>
          <w:b/>
          <w:bCs/>
          <w:kern w:val="0"/>
          <w:sz w:val="24"/>
          <w:lang w:val="en-US" w:eastAsia="zh-CN" w:bidi="ar"/>
        </w:rPr>
        <w:t>3</w:t>
      </w:r>
      <w:r>
        <w:rPr>
          <w:rFonts w:ascii="Times New Roman" w:hAnsi="Times New Roman" w:eastAsia="黑体"/>
          <w:b/>
          <w:bCs/>
          <w:kern w:val="0"/>
          <w:sz w:val="24"/>
          <w:lang w:bidi="ar"/>
        </w:rPr>
        <w:t xml:space="preserve"> 并购</w:t>
      </w:r>
      <w:r>
        <w:rPr>
          <w:rFonts w:hint="eastAsia" w:ascii="Times New Roman" w:hAnsi="Times New Roman" w:eastAsia="黑体"/>
          <w:b/>
          <w:bCs/>
          <w:kern w:val="0"/>
          <w:sz w:val="24"/>
          <w:lang w:val="en-US" w:eastAsia="zh-CN" w:bidi="ar"/>
        </w:rPr>
        <w:t>动因分析</w:t>
      </w:r>
    </w:p>
    <w:p w14:paraId="410471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lang w:val="en-US" w:eastAsia="zh-CN"/>
        </w:rPr>
      </w:pPr>
      <w:r>
        <w:rPr>
          <w:rFonts w:hint="eastAsia" w:ascii="Times New Roman" w:hAnsi="Times New Roman"/>
          <w:sz w:val="24"/>
          <w:szCs w:val="24"/>
        </w:rPr>
        <w:t>3.2.1</w:t>
      </w:r>
      <w:r>
        <w:rPr>
          <w:rFonts w:hint="eastAsia" w:ascii="宋体" w:hAnsi="宋体"/>
          <w:sz w:val="24"/>
          <w:szCs w:val="24"/>
          <w:lang w:val="en-US" w:eastAsia="zh-CN"/>
        </w:rPr>
        <w:t>国家相关政策鼓励</w:t>
      </w:r>
    </w:p>
    <w:p w14:paraId="2547BF43">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我国预制菜行业目前正处于起步阶段，相关的政策法规尚处于持续完善的过程，在2021—2024年期间，国家出台多项政策旨在进一步规范预制菜行业的生产和流通环节，给消费者的饮食安全和健康提供更有力保障，并持续推动预制菜行业在高质量发展之路上稳健前行，为产业的可持续发展奠定扎实的基础。</w:t>
      </w:r>
    </w:p>
    <w:p w14:paraId="3EDA80A4">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.3.2市场竞争激烈</w:t>
      </w:r>
    </w:p>
    <w:p w14:paraId="5DCBA1A4">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随着居民消费能力的快速提升及生活节奏的加快，速冻食品行业也朝着繁荣的方向发展。目前预制菜行业参与者众多，竞争格局多变，速冻食品行业主要厂家有三全食品、思念食品、湾仔码头、惠发食品等，在这样的行业大背景下，这些厂家纷纷扩大产能，力求在激烈的市场竞争中抢占更多的份额。</w:t>
      </w:r>
    </w:p>
    <w:p w14:paraId="61479329">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3.3.3冷链运输技术逐渐成熟</w:t>
      </w:r>
    </w:p>
    <w:p w14:paraId="41D9EB46">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预制菜行业发展依托冷链运输技术扶持，运输作为速冻品行业“产-运-销”产业链中的关键一环，拥有良好的冷链运输技术能够大大降低速冻品行业的运营风险。</w:t>
      </w:r>
    </w:p>
    <w:p w14:paraId="07D6F5A4">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3.3.4追求并购协同效应发展</w:t>
      </w:r>
    </w:p>
    <w:p w14:paraId="31C7964A">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并购追求协同效应是并购活动的核心目标，其本质目标是整合双方资源实现“1+1&gt;2“的价值提升，主要体现在财务协同、运营协同、管理协同三个方面。</w:t>
      </w:r>
    </w:p>
    <w:p w14:paraId="58F6C7AD">
      <w:pPr>
        <w:spacing w:line="400" w:lineRule="exact"/>
        <w:ind w:firstLine="240" w:firstLineChars="100"/>
        <w:rPr>
          <w:rFonts w:hint="eastAsia" w:ascii="宋体" w:hAnsi="宋体" w:eastAsia="宋体" w:cs="宋体"/>
          <w:sz w:val="24"/>
          <w:szCs w:val="24"/>
          <w:lang w:val="en-US" w:eastAsia="zh-CN"/>
        </w:rPr>
      </w:pPr>
      <w:r>
        <w:rPr>
          <w:rFonts w:hint="eastAsia" w:ascii="Times New Roman" w:hAnsi="Times New Roman" w:cs="Times New Roman"/>
          <w:sz w:val="24"/>
          <w:szCs w:val="24"/>
          <w:lang w:val="en-US" w:eastAsia="zh-CN"/>
        </w:rPr>
        <w:t xml:space="preserve">  3.3.5</w:t>
      </w:r>
      <w:r>
        <w:rPr>
          <w:rFonts w:hint="eastAsia" w:ascii="宋体" w:hAnsi="宋体" w:eastAsia="宋体" w:cs="宋体"/>
          <w:sz w:val="24"/>
          <w:szCs w:val="24"/>
          <w:lang w:val="en-US" w:eastAsia="zh-CN"/>
        </w:rPr>
        <w:t xml:space="preserve">加速扩张稳固市场地位 </w:t>
      </w:r>
    </w:p>
    <w:p w14:paraId="0CF1F2DF">
      <w:pPr>
        <w:spacing w:line="400" w:lineRule="exact"/>
        <w:ind w:firstLine="480"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近几年，随着预制菜肴的发展，家庭赛道、餐饮赛道对预制菜肴的需求迅速递增，新柳伍和新宏业的主要经营范围包括水产类预制菜肴的生产与销售。具体来说，这两家公司从2017年开始专注于小龙虾尾、调味小龙虾等产品的生产，且业绩保持良好的增长态势，并致力于在预制菜领域继续扩大市场份额。</w:t>
      </w:r>
      <w:r>
        <w:rPr>
          <w:rFonts w:hint="eastAsia" w:ascii="Times New Roman" w:hAnsi="Times New Roman" w:cs="Times New Roman"/>
          <w:sz w:val="24"/>
          <w:szCs w:val="24"/>
          <w:lang w:val="en-US" w:eastAsia="zh-CN"/>
        </w:rPr>
        <w:t>安井食品以并购为核心引擎，在加速扩张中筑牢“速冻一哥”的行业地位，通过收购新宏业，能够进一步放大“销地产”模式的成本优势，在竞争激烈的速冻品市场中提升集中度，强化竞争壁垒。</w:t>
      </w:r>
    </w:p>
    <w:p w14:paraId="04449282">
      <w:pPr>
        <w:spacing w:line="400" w:lineRule="exact"/>
        <w:ind w:firstLine="480"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3.3.6推动多元化经营</w:t>
      </w:r>
    </w:p>
    <w:p w14:paraId="7028A316">
      <w:pPr>
        <w:spacing w:line="400" w:lineRule="exact"/>
        <w:ind w:firstLine="480" w:firstLineChars="200"/>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并购新宏业是安井从速冻调制食品 + 面米制品双轮驱动转向三路并进（新增预制菜）的关键节点。新宏业的调味小龙虾产品（如麻辣虾球、蒜蓉虾）直接补充了安井在预制菜领域的空白除小龙虾外，新宏业的水产加工品（如即食鱼制品、酱腌菜）与安井原有产品形成互补。</w:t>
      </w:r>
    </w:p>
    <w:p w14:paraId="165A3097">
      <w:pPr>
        <w:widowControl/>
        <w:jc w:val="left"/>
        <w:rPr>
          <w:rFonts w:ascii="黑体" w:hAnsi="Times New Roman" w:eastAsia="黑体"/>
          <w:b/>
          <w:bCs/>
          <w:sz w:val="32"/>
          <w:szCs w:val="32"/>
        </w:rPr>
      </w:pPr>
      <w:r>
        <w:rPr>
          <w:rFonts w:ascii="黑体" w:hAnsi="Times New Roman" w:eastAsia="黑体"/>
          <w:b/>
          <w:bCs/>
          <w:sz w:val="32"/>
          <w:szCs w:val="32"/>
        </w:rPr>
        <w:br w:type="page"/>
      </w:r>
    </w:p>
    <w:p w14:paraId="3E2A2368">
      <w:pPr>
        <w:tabs>
          <w:tab w:val="center" w:pos="4139"/>
          <w:tab w:val="left" w:pos="7545"/>
          <w:tab w:val="right" w:leader="middleDot" w:pos="7740"/>
        </w:tabs>
        <w:spacing w:before="312" w:beforeLines="100" w:after="312" w:afterLines="100"/>
        <w:jc w:val="center"/>
        <w:outlineLvl w:val="0"/>
        <w:rPr>
          <w:rFonts w:hint="default" w:ascii="黑体" w:hAnsi="Times New Roman" w:eastAsia="黑体"/>
          <w:b/>
          <w:bCs/>
          <w:sz w:val="32"/>
          <w:szCs w:val="32"/>
          <w:lang w:val="en-US" w:eastAsia="zh-CN"/>
        </w:rPr>
      </w:pPr>
      <w:bookmarkStart w:id="45" w:name="_Toc196465078"/>
      <w:bookmarkStart w:id="46" w:name="_Toc196321918"/>
      <w:r>
        <w:rPr>
          <w:rFonts w:ascii="黑体" w:hAnsi="Times New Roman" w:eastAsia="黑体"/>
          <w:b/>
          <w:bCs/>
          <w:sz w:val="32"/>
          <w:szCs w:val="32"/>
        </w:rPr>
        <w:t>第4章</w:t>
      </w:r>
      <w:r>
        <w:rPr>
          <w:rFonts w:hint="eastAsia" w:ascii="黑体" w:hAnsi="Times New Roman" w:eastAsia="黑体"/>
          <w:b/>
          <w:bCs/>
          <w:sz w:val="32"/>
          <w:szCs w:val="32"/>
        </w:rPr>
        <w:t xml:space="preserve"> </w:t>
      </w:r>
      <w:bookmarkEnd w:id="43"/>
      <w:bookmarkEnd w:id="44"/>
      <w:bookmarkEnd w:id="45"/>
      <w:bookmarkEnd w:id="46"/>
      <w:r>
        <w:rPr>
          <w:rFonts w:hint="eastAsia" w:ascii="黑体" w:hAnsi="Times New Roman" w:eastAsia="黑体"/>
          <w:b/>
          <w:bCs/>
          <w:sz w:val="32"/>
          <w:szCs w:val="32"/>
          <w:lang w:val="en-US" w:eastAsia="zh-CN"/>
        </w:rPr>
        <w:t>安井食品并购新宏业财务绩效分析</w:t>
      </w:r>
    </w:p>
    <w:p w14:paraId="688BD4B4">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47" w:name="_Toc4848"/>
      <w:bookmarkStart w:id="48" w:name="_Toc842"/>
      <w:bookmarkStart w:id="49" w:name="_Toc196321919"/>
      <w:bookmarkStart w:id="50" w:name="_Toc196465079"/>
      <w:r>
        <w:rPr>
          <w:rFonts w:ascii="黑体" w:hAnsi="Times New Roman" w:eastAsia="黑体"/>
          <w:b/>
          <w:bCs/>
          <w:sz w:val="24"/>
          <w:szCs w:val="24"/>
        </w:rPr>
        <w:t xml:space="preserve">4.1 </w:t>
      </w:r>
      <w:bookmarkEnd w:id="47"/>
      <w:bookmarkEnd w:id="48"/>
      <w:bookmarkEnd w:id="49"/>
      <w:bookmarkEnd w:id="50"/>
      <w:r>
        <w:rPr>
          <w:rFonts w:hint="eastAsia" w:ascii="黑体" w:hAnsi="Times New Roman" w:eastAsia="黑体"/>
          <w:b/>
          <w:bCs/>
          <w:sz w:val="24"/>
          <w:szCs w:val="24"/>
          <w:lang w:val="en-US" w:eastAsia="zh-CN"/>
        </w:rPr>
        <w:t>偿债能力分析</w:t>
      </w:r>
    </w:p>
    <w:p w14:paraId="7B7C757D">
      <w:pPr>
        <w:widowControl/>
        <w:tabs>
          <w:tab w:val="center" w:pos="4139"/>
          <w:tab w:val="left" w:pos="7545"/>
          <w:tab w:val="right" w:leader="middleDot" w:pos="7740"/>
        </w:tabs>
        <w:spacing w:before="312" w:beforeLines="100" w:after="156" w:afterLines="50"/>
        <w:ind w:firstLine="480" w:firstLineChars="200"/>
        <w:outlineLvl w:val="2"/>
        <w:rPr>
          <w:rFonts w:hint="default" w:ascii="宋体" w:hAnsi="宋体" w:cs="宋体"/>
          <w:bCs/>
          <w:sz w:val="24"/>
          <w:szCs w:val="24"/>
          <w:lang w:val="en-US" w:eastAsia="zh-CN"/>
        </w:rPr>
      </w:pPr>
      <w:r>
        <w:rPr>
          <w:rFonts w:hint="eastAsia" w:ascii="宋体" w:hAnsi="宋体" w:cs="宋体"/>
          <w:bCs/>
          <w:sz w:val="24"/>
          <w:szCs w:val="24"/>
          <w:lang w:val="en-US" w:eastAsia="zh-CN"/>
        </w:rPr>
        <w:t>偿债能力</w:t>
      </w:r>
      <w:r>
        <w:rPr>
          <w:rFonts w:hint="default" w:ascii="宋体" w:hAnsi="宋体" w:cs="宋体"/>
          <w:bCs/>
          <w:sz w:val="24"/>
          <w:szCs w:val="24"/>
          <w:lang w:val="en-US" w:eastAsia="zh-CN"/>
        </w:rPr>
        <w:t>，是指企业用其资产和经营收益偿还长期与短期债务的能力。它衡量的是企业能否按时、足额地支付到期债务的本金和利息，本质上反映的是企业的财务安全性和风险程度</w:t>
      </w:r>
      <w:r>
        <w:rPr>
          <w:rFonts w:hint="eastAsia" w:ascii="宋体" w:hAnsi="宋体" w:cs="宋体"/>
          <w:bCs/>
          <w:sz w:val="24"/>
          <w:szCs w:val="24"/>
          <w:lang w:val="en-US" w:eastAsia="zh-CN"/>
        </w:rPr>
        <w:t>。通常对偿债能力指标的分析从以下两个角度出发：一是对企业的短期偿债能力分析，具体是对企业资产负债的流动性分析；二是对企业的长期偿债能力分析，具体是对偿还债务的能力进行分析。</w:t>
      </w:r>
    </w:p>
    <w:p w14:paraId="6D95FB88">
      <w:pPr>
        <w:pStyle w:val="4"/>
        <w:jc w:val="center"/>
        <w:rPr>
          <w:rFonts w:ascii="Times New Roman" w:hAnsi="Times New Roman"/>
        </w:rPr>
      </w:pPr>
      <w:r>
        <w:rPr>
          <w:rFonts w:ascii="Times New Roman" w:hAnsi="Times New Roman"/>
        </w:rPr>
        <w:t xml:space="preserve">表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偿债能力指标</w:t>
      </w:r>
    </w:p>
    <w:tbl>
      <w:tblPr>
        <w:tblStyle w:val="12"/>
        <w:tblW w:w="8389" w:type="dxa"/>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2154"/>
        <w:gridCol w:w="1247"/>
        <w:gridCol w:w="1247"/>
        <w:gridCol w:w="1247"/>
        <w:gridCol w:w="1247"/>
        <w:gridCol w:w="1247"/>
      </w:tblGrid>
      <w:tr w14:paraId="5792EC86">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7370097F">
            <w:pPr>
              <w:widowControl/>
              <w:jc w:val="center"/>
              <w:rPr>
                <w:color w:val="000000"/>
                <w:kern w:val="0"/>
                <w:szCs w:val="21"/>
              </w:rPr>
            </w:pPr>
            <w:bookmarkStart w:id="51" w:name="OLE_LINK12"/>
            <w:bookmarkStart w:id="52" w:name="OLE_LINK11"/>
            <w:r>
              <w:rPr>
                <w:color w:val="000000"/>
                <w:kern w:val="0"/>
                <w:szCs w:val="21"/>
              </w:rPr>
              <w:t>科目\时间</w:t>
            </w:r>
            <w:bookmarkEnd w:id="51"/>
            <w:bookmarkEnd w:id="52"/>
          </w:p>
        </w:tc>
        <w:tc>
          <w:tcPr>
            <w:tcW w:w="1247" w:type="dxa"/>
            <w:noWrap/>
            <w:vAlign w:val="top"/>
          </w:tcPr>
          <w:p w14:paraId="3E7CD322">
            <w:pPr>
              <w:widowControl/>
              <w:jc w:val="center"/>
              <w:rPr>
                <w:color w:val="000000"/>
                <w:kern w:val="0"/>
                <w:szCs w:val="21"/>
              </w:rPr>
            </w:pPr>
            <w:r>
              <w:rPr>
                <w:color w:val="000000"/>
                <w:kern w:val="0"/>
                <w:szCs w:val="21"/>
              </w:rPr>
              <w:t>20</w:t>
            </w:r>
            <w:r>
              <w:rPr>
                <w:rFonts w:hint="eastAsia"/>
                <w:color w:val="000000"/>
                <w:kern w:val="0"/>
                <w:szCs w:val="21"/>
                <w:lang w:val="en-US" w:eastAsia="zh-CN"/>
              </w:rPr>
              <w:t>20</w:t>
            </w:r>
            <w:r>
              <w:rPr>
                <w:color w:val="000000"/>
                <w:kern w:val="0"/>
                <w:szCs w:val="21"/>
              </w:rPr>
              <w:t>年</w:t>
            </w:r>
          </w:p>
        </w:tc>
        <w:tc>
          <w:tcPr>
            <w:tcW w:w="1247" w:type="dxa"/>
            <w:noWrap/>
            <w:vAlign w:val="top"/>
          </w:tcPr>
          <w:p w14:paraId="0987CDC9">
            <w:pPr>
              <w:widowControl/>
              <w:jc w:val="center"/>
              <w:rPr>
                <w:color w:val="000000"/>
                <w:kern w:val="0"/>
                <w:szCs w:val="21"/>
              </w:rPr>
            </w:pPr>
            <w:r>
              <w:rPr>
                <w:color w:val="000000"/>
                <w:kern w:val="0"/>
                <w:szCs w:val="21"/>
              </w:rPr>
              <w:t>202</w:t>
            </w:r>
            <w:r>
              <w:rPr>
                <w:rFonts w:hint="eastAsia"/>
                <w:color w:val="000000"/>
                <w:kern w:val="0"/>
                <w:szCs w:val="21"/>
                <w:lang w:val="en-US" w:eastAsia="zh-CN"/>
              </w:rPr>
              <w:t>1</w:t>
            </w:r>
            <w:r>
              <w:rPr>
                <w:color w:val="000000"/>
                <w:kern w:val="0"/>
                <w:szCs w:val="21"/>
              </w:rPr>
              <w:t>年</w:t>
            </w:r>
          </w:p>
        </w:tc>
        <w:tc>
          <w:tcPr>
            <w:tcW w:w="1247" w:type="dxa"/>
            <w:noWrap/>
            <w:vAlign w:val="top"/>
          </w:tcPr>
          <w:p w14:paraId="129D6A96">
            <w:pPr>
              <w:widowControl/>
              <w:jc w:val="center"/>
              <w:rPr>
                <w:color w:val="000000"/>
                <w:kern w:val="0"/>
                <w:szCs w:val="21"/>
              </w:rPr>
            </w:pPr>
            <w:r>
              <w:rPr>
                <w:color w:val="000000"/>
                <w:kern w:val="0"/>
                <w:szCs w:val="21"/>
              </w:rPr>
              <w:t>202</w:t>
            </w:r>
            <w:r>
              <w:rPr>
                <w:rFonts w:hint="eastAsia"/>
                <w:color w:val="000000"/>
                <w:kern w:val="0"/>
                <w:szCs w:val="21"/>
                <w:lang w:val="en-US" w:eastAsia="zh-CN"/>
              </w:rPr>
              <w:t>2</w:t>
            </w:r>
            <w:r>
              <w:rPr>
                <w:color w:val="000000"/>
                <w:kern w:val="0"/>
                <w:szCs w:val="21"/>
              </w:rPr>
              <w:t>年</w:t>
            </w:r>
          </w:p>
        </w:tc>
        <w:tc>
          <w:tcPr>
            <w:tcW w:w="1247" w:type="dxa"/>
            <w:noWrap/>
            <w:vAlign w:val="top"/>
          </w:tcPr>
          <w:p w14:paraId="3F1A4B4A">
            <w:pPr>
              <w:widowControl/>
              <w:jc w:val="center"/>
              <w:rPr>
                <w:color w:val="000000"/>
                <w:kern w:val="0"/>
                <w:szCs w:val="21"/>
              </w:rPr>
            </w:pPr>
            <w:r>
              <w:rPr>
                <w:color w:val="000000"/>
                <w:kern w:val="0"/>
                <w:szCs w:val="21"/>
              </w:rPr>
              <w:t>202</w:t>
            </w:r>
            <w:r>
              <w:rPr>
                <w:rFonts w:hint="eastAsia"/>
                <w:color w:val="000000"/>
                <w:kern w:val="0"/>
                <w:szCs w:val="21"/>
                <w:lang w:val="en-US" w:eastAsia="zh-CN"/>
              </w:rPr>
              <w:t>3</w:t>
            </w:r>
            <w:r>
              <w:rPr>
                <w:color w:val="000000"/>
                <w:kern w:val="0"/>
                <w:szCs w:val="21"/>
              </w:rPr>
              <w:t>年</w:t>
            </w:r>
          </w:p>
        </w:tc>
        <w:tc>
          <w:tcPr>
            <w:tcW w:w="1247" w:type="dxa"/>
            <w:noWrap/>
            <w:vAlign w:val="top"/>
          </w:tcPr>
          <w:p w14:paraId="31CE5EA7">
            <w:pPr>
              <w:widowControl/>
              <w:jc w:val="center"/>
              <w:rPr>
                <w:color w:val="000000"/>
                <w:kern w:val="0"/>
                <w:szCs w:val="21"/>
              </w:rPr>
            </w:pPr>
            <w:r>
              <w:rPr>
                <w:color w:val="000000"/>
                <w:kern w:val="0"/>
                <w:szCs w:val="21"/>
              </w:rPr>
              <w:t>202</w:t>
            </w:r>
            <w:r>
              <w:rPr>
                <w:rFonts w:hint="eastAsia"/>
                <w:color w:val="000000"/>
                <w:kern w:val="0"/>
                <w:szCs w:val="21"/>
                <w:lang w:val="en-US" w:eastAsia="zh-CN"/>
              </w:rPr>
              <w:t>4</w:t>
            </w:r>
            <w:r>
              <w:rPr>
                <w:color w:val="000000"/>
                <w:kern w:val="0"/>
                <w:szCs w:val="21"/>
              </w:rPr>
              <w:t>年</w:t>
            </w:r>
          </w:p>
        </w:tc>
      </w:tr>
      <w:tr w14:paraId="1ADEFA4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7A98B52B">
            <w:pPr>
              <w:widowControl/>
              <w:jc w:val="center"/>
              <w:rPr>
                <w:color w:val="000000"/>
                <w:kern w:val="0"/>
                <w:szCs w:val="21"/>
              </w:rPr>
            </w:pPr>
            <w:r>
              <w:rPr>
                <w:color w:val="000000"/>
                <w:kern w:val="0"/>
                <w:szCs w:val="21"/>
              </w:rPr>
              <w:t>流动比率</w:t>
            </w:r>
          </w:p>
        </w:tc>
        <w:tc>
          <w:tcPr>
            <w:tcW w:w="1247" w:type="dxa"/>
            <w:noWrap/>
            <w:vAlign w:val="top"/>
          </w:tcPr>
          <w:p w14:paraId="40624D9C">
            <w:pPr>
              <w:widowControl/>
              <w:jc w:val="center"/>
              <w:rPr>
                <w:color w:val="000000"/>
                <w:kern w:val="0"/>
                <w:szCs w:val="21"/>
              </w:rPr>
            </w:pPr>
            <w:r>
              <w:rPr>
                <w:rFonts w:hint="eastAsia"/>
                <w:color w:val="000000"/>
                <w:kern w:val="0"/>
                <w:szCs w:val="21"/>
              </w:rPr>
              <w:t>1.66</w:t>
            </w:r>
          </w:p>
        </w:tc>
        <w:tc>
          <w:tcPr>
            <w:tcW w:w="1247" w:type="dxa"/>
            <w:noWrap/>
            <w:vAlign w:val="top"/>
          </w:tcPr>
          <w:p w14:paraId="3832B31B">
            <w:pPr>
              <w:widowControl/>
              <w:jc w:val="center"/>
              <w:rPr>
                <w:rFonts w:hint="default" w:eastAsia="宋体"/>
                <w:color w:val="000000"/>
                <w:kern w:val="0"/>
                <w:szCs w:val="21"/>
                <w:lang w:val="en-US" w:eastAsia="zh-CN"/>
              </w:rPr>
            </w:pPr>
            <w:r>
              <w:rPr>
                <w:rFonts w:hint="eastAsia"/>
                <w:color w:val="000000"/>
                <w:kern w:val="0"/>
                <w:szCs w:val="21"/>
                <w:lang w:val="en-US" w:eastAsia="zh-CN"/>
              </w:rPr>
              <w:t>1.38</w:t>
            </w:r>
          </w:p>
        </w:tc>
        <w:tc>
          <w:tcPr>
            <w:tcW w:w="1247" w:type="dxa"/>
            <w:noWrap/>
            <w:vAlign w:val="top"/>
          </w:tcPr>
          <w:p w14:paraId="6C0BE84F">
            <w:pPr>
              <w:widowControl/>
              <w:jc w:val="center"/>
              <w:rPr>
                <w:rFonts w:hint="default" w:eastAsia="宋体"/>
                <w:color w:val="000000"/>
                <w:kern w:val="0"/>
                <w:szCs w:val="21"/>
                <w:lang w:val="en-US" w:eastAsia="zh-CN"/>
              </w:rPr>
            </w:pPr>
            <w:r>
              <w:rPr>
                <w:rFonts w:hint="eastAsia"/>
                <w:color w:val="000000"/>
                <w:kern w:val="0"/>
                <w:szCs w:val="21"/>
                <w:lang w:val="en-US" w:eastAsia="zh-CN"/>
              </w:rPr>
              <w:t>2.66</w:t>
            </w:r>
          </w:p>
        </w:tc>
        <w:tc>
          <w:tcPr>
            <w:tcW w:w="1247" w:type="dxa"/>
            <w:noWrap/>
            <w:vAlign w:val="top"/>
          </w:tcPr>
          <w:p w14:paraId="1330B305">
            <w:pPr>
              <w:widowControl/>
              <w:jc w:val="center"/>
              <w:rPr>
                <w:rFonts w:hint="default" w:eastAsia="宋体"/>
                <w:color w:val="000000"/>
                <w:kern w:val="0"/>
                <w:szCs w:val="21"/>
                <w:lang w:val="en-US" w:eastAsia="zh-CN"/>
              </w:rPr>
            </w:pPr>
            <w:r>
              <w:rPr>
                <w:rFonts w:hint="eastAsia"/>
                <w:color w:val="000000"/>
                <w:kern w:val="0"/>
                <w:szCs w:val="21"/>
                <w:lang w:val="en-US" w:eastAsia="zh-CN"/>
              </w:rPr>
              <w:t>2.6</w:t>
            </w:r>
          </w:p>
        </w:tc>
        <w:tc>
          <w:tcPr>
            <w:tcW w:w="1247" w:type="dxa"/>
            <w:noWrap/>
            <w:vAlign w:val="top"/>
          </w:tcPr>
          <w:p w14:paraId="5C245449">
            <w:pPr>
              <w:widowControl/>
              <w:jc w:val="center"/>
              <w:rPr>
                <w:rFonts w:hint="default" w:eastAsia="宋体"/>
                <w:color w:val="000000"/>
                <w:kern w:val="0"/>
                <w:szCs w:val="21"/>
                <w:lang w:val="en-US" w:eastAsia="zh-CN"/>
              </w:rPr>
            </w:pPr>
            <w:r>
              <w:rPr>
                <w:rFonts w:hint="eastAsia"/>
                <w:color w:val="000000"/>
                <w:kern w:val="0"/>
                <w:szCs w:val="21"/>
                <w:lang w:val="en-US" w:eastAsia="zh-CN"/>
              </w:rPr>
              <w:t>2.81</w:t>
            </w:r>
          </w:p>
        </w:tc>
      </w:tr>
      <w:tr w14:paraId="3872807A">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62FBA512">
            <w:pPr>
              <w:widowControl/>
              <w:jc w:val="center"/>
              <w:rPr>
                <w:color w:val="000000"/>
                <w:kern w:val="0"/>
                <w:szCs w:val="21"/>
              </w:rPr>
            </w:pPr>
            <w:r>
              <w:rPr>
                <w:color w:val="000000"/>
                <w:kern w:val="0"/>
                <w:szCs w:val="21"/>
              </w:rPr>
              <w:t>速动比率</w:t>
            </w:r>
          </w:p>
        </w:tc>
        <w:tc>
          <w:tcPr>
            <w:tcW w:w="1247" w:type="dxa"/>
            <w:noWrap/>
            <w:vAlign w:val="top"/>
          </w:tcPr>
          <w:p w14:paraId="49A9E550">
            <w:pPr>
              <w:widowControl/>
              <w:jc w:val="center"/>
              <w:rPr>
                <w:rFonts w:hint="default" w:eastAsia="宋体"/>
                <w:color w:val="000000"/>
                <w:kern w:val="0"/>
                <w:szCs w:val="21"/>
                <w:lang w:val="en-US" w:eastAsia="zh-CN"/>
              </w:rPr>
            </w:pPr>
            <w:r>
              <w:rPr>
                <w:rFonts w:hint="eastAsia"/>
                <w:color w:val="000000"/>
                <w:kern w:val="0"/>
                <w:szCs w:val="21"/>
                <w:lang w:val="en-US" w:eastAsia="zh-CN"/>
              </w:rPr>
              <w:t>0.98</w:t>
            </w:r>
          </w:p>
        </w:tc>
        <w:tc>
          <w:tcPr>
            <w:tcW w:w="1247" w:type="dxa"/>
            <w:noWrap/>
            <w:vAlign w:val="top"/>
          </w:tcPr>
          <w:p w14:paraId="4C79C83F">
            <w:pPr>
              <w:widowControl/>
              <w:jc w:val="center"/>
              <w:rPr>
                <w:rFonts w:hint="default" w:eastAsia="宋体"/>
                <w:color w:val="000000"/>
                <w:kern w:val="0"/>
                <w:szCs w:val="21"/>
                <w:lang w:val="en-US" w:eastAsia="zh-CN"/>
              </w:rPr>
            </w:pPr>
            <w:r>
              <w:rPr>
                <w:color w:val="000000"/>
                <w:kern w:val="0"/>
                <w:szCs w:val="21"/>
              </w:rPr>
              <w:t>0.</w:t>
            </w:r>
            <w:r>
              <w:rPr>
                <w:rFonts w:hint="eastAsia"/>
                <w:color w:val="000000"/>
                <w:kern w:val="0"/>
                <w:szCs w:val="21"/>
                <w:lang w:val="en-US" w:eastAsia="zh-CN"/>
              </w:rPr>
              <w:t>62</w:t>
            </w:r>
          </w:p>
        </w:tc>
        <w:tc>
          <w:tcPr>
            <w:tcW w:w="1247" w:type="dxa"/>
            <w:noWrap/>
            <w:vAlign w:val="top"/>
          </w:tcPr>
          <w:p w14:paraId="0768ACF6">
            <w:pPr>
              <w:widowControl/>
              <w:jc w:val="center"/>
              <w:rPr>
                <w:rFonts w:hint="default" w:eastAsia="宋体"/>
                <w:color w:val="000000"/>
                <w:kern w:val="0"/>
                <w:szCs w:val="21"/>
                <w:lang w:val="en-US" w:eastAsia="zh-CN"/>
              </w:rPr>
            </w:pPr>
            <w:r>
              <w:rPr>
                <w:rFonts w:hint="eastAsia"/>
                <w:color w:val="000000"/>
                <w:kern w:val="0"/>
                <w:szCs w:val="21"/>
                <w:lang w:val="en-US" w:eastAsia="zh-CN"/>
              </w:rPr>
              <w:t>1.85</w:t>
            </w:r>
          </w:p>
        </w:tc>
        <w:tc>
          <w:tcPr>
            <w:tcW w:w="1247" w:type="dxa"/>
            <w:noWrap/>
            <w:vAlign w:val="top"/>
          </w:tcPr>
          <w:p w14:paraId="6A1D025E">
            <w:pPr>
              <w:widowControl/>
              <w:jc w:val="center"/>
              <w:rPr>
                <w:rFonts w:hint="default" w:eastAsia="宋体"/>
                <w:color w:val="000000"/>
                <w:kern w:val="0"/>
                <w:szCs w:val="21"/>
                <w:lang w:val="en-US" w:eastAsia="zh-CN"/>
              </w:rPr>
            </w:pPr>
            <w:r>
              <w:rPr>
                <w:rFonts w:hint="eastAsia"/>
                <w:color w:val="000000"/>
                <w:kern w:val="0"/>
                <w:szCs w:val="21"/>
                <w:lang w:val="en-US" w:eastAsia="zh-CN"/>
              </w:rPr>
              <w:t>1.71</w:t>
            </w:r>
          </w:p>
        </w:tc>
        <w:tc>
          <w:tcPr>
            <w:tcW w:w="1247" w:type="dxa"/>
            <w:noWrap/>
            <w:vAlign w:val="top"/>
          </w:tcPr>
          <w:p w14:paraId="17B0F94D">
            <w:pPr>
              <w:widowControl/>
              <w:jc w:val="center"/>
              <w:rPr>
                <w:rFonts w:hint="default" w:eastAsia="宋体"/>
                <w:color w:val="000000"/>
                <w:kern w:val="0"/>
                <w:szCs w:val="21"/>
                <w:lang w:val="en-US" w:eastAsia="zh-CN"/>
              </w:rPr>
            </w:pPr>
            <w:r>
              <w:rPr>
                <w:rFonts w:hint="eastAsia"/>
                <w:color w:val="000000"/>
                <w:kern w:val="0"/>
                <w:szCs w:val="21"/>
                <w:lang w:val="en-US" w:eastAsia="zh-CN"/>
              </w:rPr>
              <w:t>1.92</w:t>
            </w:r>
          </w:p>
        </w:tc>
      </w:tr>
      <w:tr w14:paraId="735E911E">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5F1549F1">
            <w:pPr>
              <w:widowControl/>
              <w:jc w:val="center"/>
              <w:rPr>
                <w:color w:val="000000"/>
                <w:kern w:val="0"/>
                <w:szCs w:val="21"/>
              </w:rPr>
            </w:pPr>
            <w:r>
              <w:rPr>
                <w:rFonts w:hint="eastAsia"/>
                <w:color w:val="000000"/>
                <w:kern w:val="0"/>
                <w:szCs w:val="21"/>
                <w:lang w:val="en-US" w:eastAsia="zh-CN"/>
              </w:rPr>
              <w:t>资产负债</w:t>
            </w:r>
            <w:r>
              <w:rPr>
                <w:color w:val="000000"/>
                <w:kern w:val="0"/>
                <w:szCs w:val="21"/>
              </w:rPr>
              <w:t>率</w:t>
            </w:r>
          </w:p>
        </w:tc>
        <w:tc>
          <w:tcPr>
            <w:tcW w:w="1247" w:type="dxa"/>
            <w:noWrap/>
            <w:vAlign w:val="top"/>
          </w:tcPr>
          <w:p w14:paraId="16F97C3F">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48.09%</w:t>
            </w:r>
          </w:p>
        </w:tc>
        <w:tc>
          <w:tcPr>
            <w:tcW w:w="1247" w:type="dxa"/>
            <w:noWrap/>
            <w:vAlign w:val="top"/>
          </w:tcPr>
          <w:p w14:paraId="6B1C9BB7">
            <w:pPr>
              <w:widowControl/>
              <w:jc w:val="center"/>
              <w:rPr>
                <w:color w:val="000000"/>
                <w:kern w:val="0"/>
                <w:szCs w:val="21"/>
              </w:rPr>
            </w:pPr>
            <w:r>
              <w:rPr>
                <w:rFonts w:hint="eastAsia"/>
              </w:rPr>
              <w:t>41.36%</w:t>
            </w:r>
          </w:p>
        </w:tc>
        <w:tc>
          <w:tcPr>
            <w:tcW w:w="1247" w:type="dxa"/>
            <w:noWrap/>
            <w:vAlign w:val="top"/>
          </w:tcPr>
          <w:p w14:paraId="255B14A9">
            <w:pPr>
              <w:widowControl/>
              <w:jc w:val="center"/>
              <w:rPr>
                <w:color w:val="000000"/>
                <w:kern w:val="0"/>
                <w:szCs w:val="21"/>
              </w:rPr>
            </w:pPr>
            <w:r>
              <w:rPr>
                <w:rFonts w:hint="eastAsia"/>
                <w:lang w:val="en-US" w:eastAsia="zh-CN"/>
              </w:rPr>
              <w:t>26.29</w:t>
            </w:r>
            <w:r>
              <w:rPr>
                <w:rFonts w:hint="eastAsia"/>
              </w:rPr>
              <w:t>%</w:t>
            </w:r>
          </w:p>
        </w:tc>
        <w:tc>
          <w:tcPr>
            <w:tcW w:w="1247" w:type="dxa"/>
            <w:noWrap/>
            <w:vAlign w:val="top"/>
          </w:tcPr>
          <w:p w14:paraId="16D68440">
            <w:pPr>
              <w:widowControl/>
              <w:jc w:val="center"/>
              <w:rPr>
                <w:color w:val="000000"/>
                <w:kern w:val="0"/>
                <w:szCs w:val="21"/>
              </w:rPr>
            </w:pPr>
            <w:r>
              <w:rPr>
                <w:rFonts w:hint="eastAsia"/>
                <w:lang w:val="en-US" w:eastAsia="zh-CN"/>
              </w:rPr>
              <w:t>25.43</w:t>
            </w:r>
            <w:r>
              <w:rPr>
                <w:rFonts w:hint="eastAsia"/>
              </w:rPr>
              <w:t>%</w:t>
            </w:r>
          </w:p>
        </w:tc>
        <w:tc>
          <w:tcPr>
            <w:tcW w:w="1247" w:type="dxa"/>
            <w:noWrap/>
            <w:vAlign w:val="top"/>
          </w:tcPr>
          <w:p w14:paraId="3FA88B5A">
            <w:pPr>
              <w:widowControl/>
              <w:jc w:val="center"/>
              <w:rPr>
                <w:color w:val="000000"/>
                <w:kern w:val="0"/>
                <w:szCs w:val="21"/>
              </w:rPr>
            </w:pPr>
            <w:r>
              <w:rPr>
                <w:rFonts w:hint="eastAsia"/>
                <w:lang w:val="en-US" w:eastAsia="zh-CN"/>
              </w:rPr>
              <w:t>23.62</w:t>
            </w:r>
            <w:r>
              <w:rPr>
                <w:rFonts w:hint="eastAsia"/>
              </w:rPr>
              <w:t>%</w:t>
            </w:r>
          </w:p>
        </w:tc>
      </w:tr>
      <w:tr w14:paraId="66CCC85E">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5453F216">
            <w:pPr>
              <w:widowControl/>
              <w:jc w:val="center"/>
              <w:rPr>
                <w:rFonts w:hint="eastAsia" w:eastAsia="宋体"/>
                <w:color w:val="000000"/>
                <w:kern w:val="0"/>
                <w:szCs w:val="21"/>
                <w:lang w:eastAsia="zh-CN"/>
              </w:rPr>
            </w:pPr>
            <w:r>
              <w:rPr>
                <w:rFonts w:hint="eastAsia"/>
                <w:color w:val="000000"/>
                <w:kern w:val="0"/>
                <w:szCs w:val="21"/>
                <w:lang w:val="en-US" w:eastAsia="zh-CN"/>
              </w:rPr>
              <w:t>利息保障倍数</w:t>
            </w:r>
          </w:p>
        </w:tc>
        <w:tc>
          <w:tcPr>
            <w:tcW w:w="1247" w:type="dxa"/>
            <w:noWrap/>
            <w:vAlign w:val="top"/>
          </w:tcPr>
          <w:p w14:paraId="5AA0FCC5">
            <w:pPr>
              <w:widowControl/>
              <w:jc w:val="center"/>
              <w:rPr>
                <w:rFonts w:hint="default" w:eastAsia="宋体"/>
                <w:color w:val="000000"/>
                <w:kern w:val="0"/>
                <w:szCs w:val="21"/>
                <w:lang w:val="en-US" w:eastAsia="zh-CN"/>
              </w:rPr>
            </w:pPr>
            <w:r>
              <w:rPr>
                <w:rFonts w:hint="eastAsia"/>
                <w:color w:val="000000"/>
                <w:kern w:val="0"/>
                <w:szCs w:val="21"/>
                <w:lang w:val="en-US" w:eastAsia="zh-CN"/>
              </w:rPr>
              <w:t>55.68</w:t>
            </w:r>
          </w:p>
        </w:tc>
        <w:tc>
          <w:tcPr>
            <w:tcW w:w="1247" w:type="dxa"/>
            <w:noWrap/>
            <w:vAlign w:val="top"/>
          </w:tcPr>
          <w:p w14:paraId="0B1BC908">
            <w:pPr>
              <w:widowControl/>
              <w:jc w:val="center"/>
              <w:rPr>
                <w:rFonts w:hint="default" w:eastAsia="宋体"/>
                <w:color w:val="000000"/>
                <w:kern w:val="0"/>
                <w:szCs w:val="21"/>
                <w:lang w:val="en-US" w:eastAsia="zh-CN"/>
              </w:rPr>
            </w:pPr>
            <w:r>
              <w:rPr>
                <w:rFonts w:hint="eastAsia"/>
                <w:color w:val="000000"/>
                <w:kern w:val="0"/>
                <w:szCs w:val="21"/>
                <w:lang w:val="en-US" w:eastAsia="zh-CN"/>
              </w:rPr>
              <w:t>67.08</w:t>
            </w:r>
          </w:p>
        </w:tc>
        <w:tc>
          <w:tcPr>
            <w:tcW w:w="1247" w:type="dxa"/>
            <w:noWrap/>
            <w:vAlign w:val="top"/>
          </w:tcPr>
          <w:p w14:paraId="1F382CF6">
            <w:pPr>
              <w:widowControl/>
              <w:jc w:val="center"/>
              <w:rPr>
                <w:rFonts w:hint="default" w:eastAsia="宋体"/>
                <w:color w:val="000000"/>
                <w:kern w:val="0"/>
                <w:szCs w:val="21"/>
                <w:lang w:val="en-US" w:eastAsia="zh-CN"/>
              </w:rPr>
            </w:pPr>
            <w:r>
              <w:rPr>
                <w:rFonts w:hint="eastAsia"/>
                <w:color w:val="000000"/>
                <w:kern w:val="0"/>
                <w:szCs w:val="21"/>
                <w:lang w:val="en-US" w:eastAsia="zh-CN"/>
              </w:rPr>
              <w:t>115.3</w:t>
            </w:r>
          </w:p>
        </w:tc>
        <w:tc>
          <w:tcPr>
            <w:tcW w:w="1247" w:type="dxa"/>
            <w:noWrap/>
            <w:vAlign w:val="top"/>
          </w:tcPr>
          <w:p w14:paraId="4F55722F">
            <w:pPr>
              <w:widowControl/>
              <w:jc w:val="center"/>
              <w:rPr>
                <w:rFonts w:hint="default" w:eastAsia="宋体"/>
                <w:color w:val="000000"/>
                <w:kern w:val="0"/>
                <w:szCs w:val="21"/>
                <w:lang w:val="en-US" w:eastAsia="zh-CN"/>
              </w:rPr>
            </w:pPr>
            <w:r>
              <w:rPr>
                <w:rFonts w:hint="eastAsia"/>
                <w:color w:val="000000"/>
                <w:kern w:val="0"/>
                <w:szCs w:val="21"/>
                <w:lang w:val="en-US" w:eastAsia="zh-CN"/>
              </w:rPr>
              <w:t>136.2</w:t>
            </w:r>
          </w:p>
        </w:tc>
        <w:tc>
          <w:tcPr>
            <w:tcW w:w="1247" w:type="dxa"/>
            <w:noWrap/>
            <w:vAlign w:val="top"/>
          </w:tcPr>
          <w:p w14:paraId="5F34AFEE">
            <w:pPr>
              <w:widowControl/>
              <w:jc w:val="center"/>
              <w:rPr>
                <w:rFonts w:hint="default" w:eastAsia="宋体"/>
                <w:color w:val="000000"/>
                <w:kern w:val="0"/>
                <w:szCs w:val="21"/>
                <w:lang w:val="en-US" w:eastAsia="zh-CN"/>
              </w:rPr>
            </w:pPr>
            <w:r>
              <w:rPr>
                <w:rFonts w:hint="eastAsia"/>
                <w:color w:val="000000"/>
                <w:kern w:val="0"/>
                <w:szCs w:val="21"/>
                <w:lang w:val="en-US" w:eastAsia="zh-CN"/>
              </w:rPr>
              <w:t>1290.87</w:t>
            </w:r>
          </w:p>
        </w:tc>
      </w:tr>
    </w:tbl>
    <w:p w14:paraId="0DC284BE">
      <w:pPr>
        <w:spacing w:line="400" w:lineRule="exact"/>
        <w:rPr>
          <w:rFonts w:hint="eastAsia" w:ascii="宋体" w:hAnsi="宋体" w:eastAsia="宋体" w:cs="宋体"/>
          <w:bCs/>
          <w:sz w:val="24"/>
          <w:szCs w:val="24"/>
          <w:lang w:val="en-US" w:eastAsia="zh-CN"/>
        </w:rPr>
      </w:pPr>
      <w:r>
        <w:rPr>
          <w:rFonts w:ascii="宋体" w:hAnsi="宋体"/>
          <w:szCs w:val="21"/>
        </w:rPr>
        <w:t>数据来源：</w:t>
      </w:r>
      <w:r>
        <w:rPr>
          <w:rFonts w:hint="eastAsia" w:ascii="宋体" w:hAnsi="宋体"/>
          <w:szCs w:val="21"/>
          <w:lang w:val="en-US" w:eastAsia="zh-CN"/>
        </w:rPr>
        <w:t>安井食品</w:t>
      </w:r>
      <w:r>
        <w:rPr>
          <w:rFonts w:ascii="宋体" w:hAnsi="宋体"/>
          <w:szCs w:val="21"/>
        </w:rPr>
        <w:t>公司20</w:t>
      </w:r>
      <w:r>
        <w:rPr>
          <w:rFonts w:hint="eastAsia" w:ascii="宋体" w:hAnsi="宋体"/>
          <w:szCs w:val="21"/>
          <w:lang w:val="en-US" w:eastAsia="zh-CN"/>
        </w:rPr>
        <w:t>20</w:t>
      </w:r>
      <w:r>
        <w:rPr>
          <w:rFonts w:ascii="宋体" w:hAnsi="宋体"/>
          <w:szCs w:val="21"/>
        </w:rPr>
        <w:t>-202</w:t>
      </w:r>
      <w:r>
        <w:rPr>
          <w:rFonts w:hint="eastAsia" w:ascii="宋体" w:hAnsi="宋体"/>
          <w:szCs w:val="21"/>
          <w:lang w:val="en-US" w:eastAsia="zh-CN"/>
        </w:rPr>
        <w:t>4</w:t>
      </w:r>
      <w:r>
        <w:rPr>
          <w:rFonts w:ascii="宋体" w:hAnsi="宋体"/>
          <w:szCs w:val="21"/>
        </w:rPr>
        <w:t>年年</w:t>
      </w:r>
      <w:r>
        <w:rPr>
          <w:rFonts w:hint="eastAsia" w:ascii="宋体" w:hAnsi="宋体"/>
          <w:szCs w:val="21"/>
          <w:lang w:val="en-US" w:eastAsia="zh-CN"/>
        </w:rPr>
        <w:t>报</w:t>
      </w:r>
    </w:p>
    <w:p w14:paraId="2723DADE">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cs="宋体"/>
          <w:bCs/>
          <w:sz w:val="24"/>
          <w:szCs w:val="24"/>
          <w:lang w:val="en-US" w:eastAsia="zh-CN"/>
        </w:rPr>
      </w:pPr>
      <w:r>
        <w:rPr>
          <w:rFonts w:hint="eastAsia" w:ascii="宋体" w:hAnsi="宋体" w:cs="宋体"/>
          <w:bCs/>
          <w:sz w:val="24"/>
          <w:szCs w:val="24"/>
          <w:lang w:val="en-US" w:eastAsia="zh-CN"/>
        </w:rPr>
        <w:t>4.1.1企业短期偿债能力明显提升</w:t>
      </w:r>
    </w:p>
    <w:p w14:paraId="1A9B779A">
      <w:pPr>
        <w:widowControl/>
        <w:tabs>
          <w:tab w:val="center" w:pos="4139"/>
          <w:tab w:val="left" w:pos="7545"/>
          <w:tab w:val="right" w:leader="middleDot" w:pos="7740"/>
        </w:tabs>
        <w:spacing w:before="312" w:beforeLines="100" w:after="156" w:afterLines="50"/>
        <w:ind w:firstLine="480" w:firstLineChars="200"/>
        <w:outlineLvl w:val="2"/>
        <w:rPr>
          <w:rFonts w:hint="default" w:ascii="宋体" w:hAnsi="宋体" w:cs="宋体"/>
          <w:bCs/>
          <w:sz w:val="24"/>
          <w:szCs w:val="24"/>
          <w:lang w:val="en-US" w:eastAsia="zh-CN"/>
        </w:rPr>
      </w:pPr>
      <w:r>
        <w:rPr>
          <w:rFonts w:hint="eastAsia" w:ascii="宋体" w:hAnsi="宋体" w:cs="宋体"/>
          <w:bCs/>
          <w:sz w:val="24"/>
          <w:szCs w:val="24"/>
          <w:lang w:val="en-US" w:eastAsia="zh-CN"/>
        </w:rPr>
        <w:t>短期偿债能力一般都由流动比率与速动比率两个指标体现，而通过观察表0-2我们可以看到：安井食品的流动比率与速动比率整体持续上升，流动比率从2020年的1.66先是下降到2021年的1.38，而后三年的数据都呈现稳步回升的状态；安井食品的速动比率从2020年的0.98先是下降到2021年的0.62，后在2022年迅速增长至1.85，虽在2023年有所回落，但在2024年仍增长至五年间最高点1.92。而这两个指标之所以在2021年都有大幅度下降是因为作为并购当年，安井食品的流动负债有着较大的增加，在并购此时安井食品的短期偿债能力是较为落后的，但后期安井食品并购新宏业实现并购深度整合后，流动比率与速动比率也就随之有所回升。</w:t>
      </w:r>
    </w:p>
    <w:p w14:paraId="7736206E">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rFonts w:hint="eastAsia" w:ascii="宋体" w:hAnsi="宋体" w:cs="宋体"/>
          <w:bCs/>
          <w:sz w:val="24"/>
          <w:szCs w:val="24"/>
          <w:lang w:val="en-US" w:eastAsia="zh-CN"/>
        </w:rPr>
        <w:t>4.1.2</w:t>
      </w:r>
      <w:r>
        <w:rPr>
          <w:rFonts w:hint="eastAsia" w:ascii="宋体" w:hAnsi="宋体"/>
          <w:sz w:val="24"/>
          <w:szCs w:val="24"/>
          <w:lang w:val="en-US" w:eastAsia="zh-CN"/>
        </w:rPr>
        <w:t>财务健康状况向好，企业长期偿债能力增强。</w:t>
      </w:r>
    </w:p>
    <w:p w14:paraId="4C8BB9ED">
      <w:pPr>
        <w:widowControl/>
        <w:tabs>
          <w:tab w:val="center" w:pos="4139"/>
          <w:tab w:val="left" w:pos="7545"/>
          <w:tab w:val="right" w:leader="middleDot" w:pos="7740"/>
        </w:tabs>
        <w:spacing w:before="312" w:beforeLines="100" w:after="156" w:afterLines="50"/>
        <w:ind w:firstLine="480" w:firstLineChars="200"/>
        <w:outlineLvl w:val="2"/>
        <w:rPr>
          <w:rFonts w:hint="default" w:ascii="宋体" w:hAnsi="宋体"/>
          <w:sz w:val="24"/>
          <w:szCs w:val="24"/>
          <w:lang w:val="en-US" w:eastAsia="zh-CN"/>
        </w:rPr>
      </w:pPr>
      <w:r>
        <w:rPr>
          <w:rFonts w:hint="eastAsia" w:ascii="宋体" w:hAnsi="宋体" w:cs="宋体"/>
          <w:bCs/>
          <w:sz w:val="24"/>
          <w:szCs w:val="24"/>
          <w:lang w:val="en-US" w:eastAsia="zh-CN"/>
        </w:rPr>
        <w:t>资产负债率与利息保障倍数作为我们衡量企业长期偿债能力的两个重要指标，对这两个指标进行分析有着重要意义。而通过观察表0-2我们可以看到：安井食品的资产负债率由2020年的48.09%下降至2021年的41.36%，而又在此后三年间持续下降至23.62%，资产负债率的整体趋势是呈下降的；其利息保障倍数则由2020年的55.68上升至2021年的67.08，而在随后三年间暴增至2024年的1290.87。可以看出此次并购行为对安井食品的偿债能力也产生了较大影响。</w:t>
      </w:r>
    </w:p>
    <w:p w14:paraId="39AAEB89">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53" w:name="_Toc196321920"/>
      <w:bookmarkStart w:id="54" w:name="_Toc196465080"/>
      <w:r>
        <w:rPr>
          <w:rFonts w:ascii="黑体" w:hAnsi="Times New Roman" w:eastAsia="黑体"/>
          <w:b/>
          <w:bCs/>
          <w:sz w:val="24"/>
          <w:szCs w:val="24"/>
        </w:rPr>
        <w:t xml:space="preserve">4.2 </w:t>
      </w:r>
      <w:bookmarkEnd w:id="53"/>
      <w:bookmarkEnd w:id="54"/>
      <w:r>
        <w:rPr>
          <w:rFonts w:hint="eastAsia" w:ascii="黑体" w:hAnsi="Times New Roman" w:eastAsia="黑体"/>
          <w:b/>
          <w:bCs/>
          <w:sz w:val="24"/>
          <w:szCs w:val="24"/>
          <w:lang w:val="en-US" w:eastAsia="zh-CN"/>
        </w:rPr>
        <w:t>盈利能力分析</w:t>
      </w:r>
    </w:p>
    <w:p w14:paraId="1E653B33">
      <w:pPr>
        <w:keepNext w:val="0"/>
        <w:keepLines w:val="0"/>
        <w:widowControl/>
        <w:suppressLineNumbers w:val="0"/>
        <w:ind w:firstLine="480" w:firstLineChars="200"/>
        <w:jc w:val="left"/>
        <w:rPr>
          <w:rFonts w:hint="eastAsia" w:ascii="黑体" w:hAnsi="Times New Roman" w:eastAsia="黑体"/>
          <w:b/>
          <w:bCs/>
          <w:sz w:val="24"/>
          <w:szCs w:val="24"/>
          <w:lang w:val="en-US" w:eastAsia="zh-CN"/>
        </w:rPr>
      </w:pPr>
      <w:r>
        <w:rPr>
          <w:rFonts w:hint="eastAsia" w:ascii="宋体" w:hAnsi="宋体" w:cs="Times New Roman"/>
          <w:sz w:val="24"/>
          <w:szCs w:val="24"/>
          <w:lang w:val="en-US" w:eastAsia="zh-CN"/>
        </w:rPr>
        <w:t>盈利能力</w:t>
      </w:r>
      <w:r>
        <w:rPr>
          <w:rFonts w:hint="default" w:ascii="宋体" w:hAnsi="宋体" w:cs="Times New Roman"/>
          <w:sz w:val="24"/>
          <w:szCs w:val="24"/>
          <w:lang w:val="en-US" w:eastAsia="zh-CN"/>
        </w:rPr>
        <w:t>，也称为收益能力，是指企业在一定时期内（通常是一个会计年度或季度）利用其拥有的各项资源获取利润的能力</w:t>
      </w:r>
      <w:r>
        <w:rPr>
          <w:rFonts w:hint="eastAsia" w:ascii="宋体" w:hAnsi="宋体" w:cs="Times New Roman"/>
          <w:sz w:val="24"/>
          <w:szCs w:val="24"/>
          <w:lang w:val="en-US" w:eastAsia="zh-CN"/>
        </w:rPr>
        <w:t>。</w:t>
      </w:r>
      <w:r>
        <w:rPr>
          <w:rFonts w:hint="default" w:ascii="宋体" w:hAnsi="宋体" w:cs="Times New Roman"/>
          <w:sz w:val="24"/>
          <w:szCs w:val="24"/>
          <w:lang w:val="en-US" w:eastAsia="zh-CN"/>
        </w:rPr>
        <w:t>净利率则综合考虑了所有成本、税收及非经常性损益，展现了企业最终的成果。更为关键的是，净资产收益率（ROE） 作为股东视角的核心指标，衡量了企业运用股东投入的自有资本创造净利润的效率，是价值创造能力的集中表现。分析盈利能力，对投资者而言是评估投资回报与成长潜力的根本依据，对管理者而言是诊断经营、优化决策的核心导航仪，对债权人而言则是判断长期偿债安全性的最终保障。本质上，持续稳健的盈利能力是企业生存与发展的生命线，它不仅是过去经营成果的总结，更是未来竞争力的预言，决定了企业能否在市场中获取资源、扩大再生产并实现长期价值增长。</w:t>
      </w:r>
    </w:p>
    <w:p w14:paraId="16945B55">
      <w:pPr>
        <w:pStyle w:val="4"/>
        <w:jc w:val="center"/>
        <w:rPr>
          <w:rFonts w:ascii="Times New Roman" w:hAnsi="Times New Roman"/>
        </w:rPr>
      </w:pPr>
      <w:r>
        <w:rPr>
          <w:rFonts w:ascii="Times New Roman" w:hAnsi="Times New Roman"/>
        </w:rPr>
        <w:t xml:space="preserve">表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w:t>
      </w:r>
      <w:r>
        <w:rPr>
          <w:rFonts w:hint="eastAsia" w:ascii="Times New Roman" w:hAnsi="Times New Roman"/>
          <w:lang w:val="en-US" w:eastAsia="zh-CN"/>
        </w:rPr>
        <w:t>盈利</w:t>
      </w:r>
      <w:r>
        <w:rPr>
          <w:rFonts w:ascii="Times New Roman" w:hAnsi="Times New Roman"/>
        </w:rPr>
        <w:t>能力指标</w:t>
      </w:r>
    </w:p>
    <w:tbl>
      <w:tblPr>
        <w:tblStyle w:val="12"/>
        <w:tblW w:w="8720" w:type="dxa"/>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1716"/>
        <w:gridCol w:w="1346"/>
        <w:gridCol w:w="1346"/>
        <w:gridCol w:w="1437"/>
        <w:gridCol w:w="1437"/>
        <w:gridCol w:w="1438"/>
      </w:tblGrid>
      <w:tr w14:paraId="254E7EC0">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425E7ADE">
            <w:pPr>
              <w:widowControl/>
              <w:jc w:val="center"/>
              <w:rPr>
                <w:color w:val="000000"/>
                <w:kern w:val="0"/>
                <w:szCs w:val="21"/>
              </w:rPr>
            </w:pPr>
            <w:r>
              <w:rPr>
                <w:color w:val="000000"/>
                <w:kern w:val="0"/>
                <w:szCs w:val="21"/>
              </w:rPr>
              <w:t>科目\时间</w:t>
            </w:r>
          </w:p>
        </w:tc>
        <w:tc>
          <w:tcPr>
            <w:tcW w:w="1346" w:type="dxa"/>
            <w:noWrap/>
            <w:vAlign w:val="top"/>
          </w:tcPr>
          <w:p w14:paraId="5B686698">
            <w:pPr>
              <w:widowControl/>
              <w:jc w:val="center"/>
              <w:rPr>
                <w:color w:val="000000"/>
                <w:kern w:val="0"/>
                <w:szCs w:val="21"/>
              </w:rPr>
            </w:pPr>
            <w:r>
              <w:rPr>
                <w:color w:val="000000"/>
                <w:kern w:val="0"/>
                <w:szCs w:val="21"/>
              </w:rPr>
              <w:t>20</w:t>
            </w:r>
            <w:r>
              <w:rPr>
                <w:rFonts w:hint="eastAsia"/>
                <w:color w:val="000000"/>
                <w:kern w:val="0"/>
                <w:szCs w:val="21"/>
                <w:lang w:val="en-US" w:eastAsia="zh-CN"/>
              </w:rPr>
              <w:t>20</w:t>
            </w:r>
            <w:r>
              <w:rPr>
                <w:color w:val="000000"/>
                <w:kern w:val="0"/>
                <w:szCs w:val="21"/>
              </w:rPr>
              <w:t>年</w:t>
            </w:r>
          </w:p>
        </w:tc>
        <w:tc>
          <w:tcPr>
            <w:tcW w:w="1346" w:type="dxa"/>
            <w:noWrap/>
            <w:vAlign w:val="top"/>
          </w:tcPr>
          <w:p w14:paraId="72FDE383">
            <w:pPr>
              <w:widowControl/>
              <w:jc w:val="center"/>
              <w:rPr>
                <w:color w:val="000000"/>
                <w:kern w:val="0"/>
                <w:szCs w:val="21"/>
              </w:rPr>
            </w:pPr>
            <w:r>
              <w:rPr>
                <w:color w:val="000000"/>
                <w:kern w:val="0"/>
                <w:szCs w:val="21"/>
              </w:rPr>
              <w:t>202</w:t>
            </w:r>
            <w:r>
              <w:rPr>
                <w:rFonts w:hint="eastAsia"/>
                <w:color w:val="000000"/>
                <w:kern w:val="0"/>
                <w:szCs w:val="21"/>
                <w:lang w:val="en-US" w:eastAsia="zh-CN"/>
              </w:rPr>
              <w:t>1</w:t>
            </w:r>
            <w:r>
              <w:rPr>
                <w:color w:val="000000"/>
                <w:kern w:val="0"/>
                <w:szCs w:val="21"/>
              </w:rPr>
              <w:t>年</w:t>
            </w:r>
          </w:p>
        </w:tc>
        <w:tc>
          <w:tcPr>
            <w:tcW w:w="1437" w:type="dxa"/>
            <w:noWrap/>
            <w:vAlign w:val="top"/>
          </w:tcPr>
          <w:p w14:paraId="28A9D3A9">
            <w:pPr>
              <w:widowControl/>
              <w:jc w:val="center"/>
              <w:rPr>
                <w:color w:val="000000"/>
                <w:kern w:val="0"/>
                <w:szCs w:val="21"/>
              </w:rPr>
            </w:pPr>
            <w:r>
              <w:rPr>
                <w:color w:val="000000"/>
                <w:kern w:val="0"/>
                <w:szCs w:val="21"/>
              </w:rPr>
              <w:t>202</w:t>
            </w:r>
            <w:r>
              <w:rPr>
                <w:rFonts w:hint="eastAsia"/>
                <w:color w:val="000000"/>
                <w:kern w:val="0"/>
                <w:szCs w:val="21"/>
                <w:lang w:val="en-US" w:eastAsia="zh-CN"/>
              </w:rPr>
              <w:t>2</w:t>
            </w:r>
            <w:r>
              <w:rPr>
                <w:color w:val="000000"/>
                <w:kern w:val="0"/>
                <w:szCs w:val="21"/>
              </w:rPr>
              <w:t>年</w:t>
            </w:r>
          </w:p>
        </w:tc>
        <w:tc>
          <w:tcPr>
            <w:tcW w:w="1437" w:type="dxa"/>
            <w:noWrap/>
            <w:vAlign w:val="top"/>
          </w:tcPr>
          <w:p w14:paraId="3BB38BB8">
            <w:pPr>
              <w:widowControl/>
              <w:jc w:val="center"/>
              <w:rPr>
                <w:color w:val="000000"/>
                <w:kern w:val="0"/>
                <w:szCs w:val="21"/>
              </w:rPr>
            </w:pPr>
            <w:r>
              <w:rPr>
                <w:color w:val="000000"/>
                <w:kern w:val="0"/>
                <w:szCs w:val="21"/>
              </w:rPr>
              <w:t>202</w:t>
            </w:r>
            <w:r>
              <w:rPr>
                <w:rFonts w:hint="eastAsia"/>
                <w:color w:val="000000"/>
                <w:kern w:val="0"/>
                <w:szCs w:val="21"/>
                <w:lang w:val="en-US" w:eastAsia="zh-CN"/>
              </w:rPr>
              <w:t>3</w:t>
            </w:r>
            <w:r>
              <w:rPr>
                <w:color w:val="000000"/>
                <w:kern w:val="0"/>
                <w:szCs w:val="21"/>
              </w:rPr>
              <w:t>年</w:t>
            </w:r>
          </w:p>
        </w:tc>
        <w:tc>
          <w:tcPr>
            <w:tcW w:w="1438" w:type="dxa"/>
            <w:noWrap/>
            <w:vAlign w:val="top"/>
          </w:tcPr>
          <w:p w14:paraId="65C0EA61">
            <w:pPr>
              <w:widowControl/>
              <w:jc w:val="center"/>
              <w:rPr>
                <w:color w:val="000000"/>
                <w:kern w:val="0"/>
                <w:szCs w:val="21"/>
              </w:rPr>
            </w:pPr>
            <w:r>
              <w:rPr>
                <w:color w:val="000000"/>
                <w:kern w:val="0"/>
                <w:szCs w:val="21"/>
              </w:rPr>
              <w:t>202</w:t>
            </w:r>
            <w:r>
              <w:rPr>
                <w:rFonts w:hint="eastAsia"/>
                <w:color w:val="000000"/>
                <w:kern w:val="0"/>
                <w:szCs w:val="21"/>
                <w:lang w:val="en-US" w:eastAsia="zh-CN"/>
              </w:rPr>
              <w:t>4</w:t>
            </w:r>
            <w:r>
              <w:rPr>
                <w:color w:val="000000"/>
                <w:kern w:val="0"/>
                <w:szCs w:val="21"/>
              </w:rPr>
              <w:t>年</w:t>
            </w:r>
          </w:p>
        </w:tc>
      </w:tr>
      <w:tr w14:paraId="0FAED57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378" w:hRule="atLeast"/>
          <w:jc w:val="center"/>
        </w:trPr>
        <w:tc>
          <w:tcPr>
            <w:tcW w:w="1716" w:type="dxa"/>
            <w:noWrap/>
            <w:vAlign w:val="top"/>
          </w:tcPr>
          <w:p w14:paraId="5CDA6CB4">
            <w:pPr>
              <w:widowControl/>
              <w:jc w:val="center"/>
              <w:rPr>
                <w:rFonts w:hint="default" w:eastAsia="宋体"/>
                <w:color w:val="000000"/>
                <w:kern w:val="0"/>
                <w:szCs w:val="21"/>
                <w:lang w:val="en-US" w:eastAsia="zh-CN"/>
              </w:rPr>
            </w:pPr>
            <w:r>
              <w:rPr>
                <w:rFonts w:hint="eastAsia"/>
                <w:color w:val="000000"/>
                <w:kern w:val="0"/>
                <w:szCs w:val="21"/>
                <w:lang w:val="en-US" w:eastAsia="zh-CN"/>
              </w:rPr>
              <w:t>营业收入（万元）</w:t>
            </w:r>
          </w:p>
        </w:tc>
        <w:tc>
          <w:tcPr>
            <w:tcW w:w="1346" w:type="dxa"/>
            <w:noWrap/>
            <w:vAlign w:val="top"/>
          </w:tcPr>
          <w:p w14:paraId="76441243">
            <w:pPr>
              <w:widowControl/>
              <w:jc w:val="center"/>
              <w:rPr>
                <w:rFonts w:hint="default" w:eastAsia="宋体"/>
                <w:color w:val="000000"/>
                <w:kern w:val="0"/>
                <w:sz w:val="21"/>
                <w:szCs w:val="21"/>
                <w:lang w:val="en-US" w:eastAsia="zh-CN"/>
              </w:rPr>
            </w:pPr>
            <w:r>
              <w:rPr>
                <w:rFonts w:hint="eastAsia"/>
                <w:color w:val="000000"/>
                <w:kern w:val="0"/>
                <w:sz w:val="21"/>
                <w:szCs w:val="21"/>
              </w:rPr>
              <w:t>696511</w:t>
            </w:r>
            <w:r>
              <w:rPr>
                <w:rFonts w:hint="eastAsia"/>
                <w:color w:val="000000"/>
                <w:kern w:val="0"/>
                <w:sz w:val="21"/>
                <w:szCs w:val="21"/>
                <w:lang w:eastAsia="zh-CN"/>
              </w:rPr>
              <w:t>.</w:t>
            </w:r>
            <w:r>
              <w:rPr>
                <w:rFonts w:hint="eastAsia"/>
                <w:color w:val="000000"/>
                <w:kern w:val="0"/>
                <w:sz w:val="21"/>
                <w:szCs w:val="21"/>
                <w:lang w:val="en-US" w:eastAsia="zh-CN"/>
              </w:rPr>
              <w:t>50</w:t>
            </w:r>
          </w:p>
        </w:tc>
        <w:tc>
          <w:tcPr>
            <w:tcW w:w="1346" w:type="dxa"/>
            <w:noWrap/>
            <w:vAlign w:val="top"/>
          </w:tcPr>
          <w:p w14:paraId="6F2E4C7A">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927220.17</w:t>
            </w:r>
          </w:p>
        </w:tc>
        <w:tc>
          <w:tcPr>
            <w:tcW w:w="1437" w:type="dxa"/>
            <w:noWrap/>
            <w:vAlign w:val="top"/>
          </w:tcPr>
          <w:p w14:paraId="38B1FDB6">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1218266.31</w:t>
            </w:r>
          </w:p>
        </w:tc>
        <w:tc>
          <w:tcPr>
            <w:tcW w:w="1437" w:type="dxa"/>
            <w:noWrap/>
            <w:vAlign w:val="top"/>
          </w:tcPr>
          <w:p w14:paraId="22B1A9B1">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1404523.48</w:t>
            </w:r>
          </w:p>
        </w:tc>
        <w:tc>
          <w:tcPr>
            <w:tcW w:w="1438" w:type="dxa"/>
            <w:noWrap/>
            <w:vAlign w:val="top"/>
          </w:tcPr>
          <w:p w14:paraId="13B1E169">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1512665.17</w:t>
            </w:r>
          </w:p>
        </w:tc>
      </w:tr>
      <w:tr w14:paraId="74D52B0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5E58C0B2">
            <w:pPr>
              <w:widowControl/>
              <w:jc w:val="center"/>
              <w:rPr>
                <w:rFonts w:hint="default" w:eastAsia="宋体"/>
                <w:color w:val="000000"/>
                <w:kern w:val="0"/>
                <w:szCs w:val="21"/>
                <w:lang w:val="en-US" w:eastAsia="zh-CN"/>
              </w:rPr>
            </w:pPr>
            <w:r>
              <w:rPr>
                <w:rFonts w:hint="eastAsia"/>
                <w:color w:val="000000"/>
                <w:kern w:val="0"/>
                <w:szCs w:val="21"/>
                <w:lang w:val="en-US" w:eastAsia="zh-CN"/>
              </w:rPr>
              <w:t>归属于母公司所有净利润（万元）</w:t>
            </w:r>
          </w:p>
        </w:tc>
        <w:tc>
          <w:tcPr>
            <w:tcW w:w="1346" w:type="dxa"/>
            <w:noWrap/>
            <w:vAlign w:val="top"/>
          </w:tcPr>
          <w:p w14:paraId="7410D72C">
            <w:pPr>
              <w:widowControl/>
              <w:spacing w:line="480" w:lineRule="auto"/>
              <w:jc w:val="center"/>
              <w:rPr>
                <w:rFonts w:hint="default" w:eastAsia="宋体"/>
                <w:color w:val="000000"/>
                <w:kern w:val="0"/>
                <w:szCs w:val="21"/>
                <w:lang w:val="en-US" w:eastAsia="zh-CN"/>
              </w:rPr>
            </w:pPr>
            <w:r>
              <w:rPr>
                <w:rFonts w:hint="eastAsia"/>
                <w:color w:val="000000"/>
                <w:kern w:val="0"/>
                <w:szCs w:val="21"/>
                <w:lang w:val="en-US" w:eastAsia="zh-CN"/>
              </w:rPr>
              <w:t>60380.03</w:t>
            </w:r>
          </w:p>
        </w:tc>
        <w:tc>
          <w:tcPr>
            <w:tcW w:w="1346" w:type="dxa"/>
            <w:noWrap/>
            <w:vAlign w:val="top"/>
          </w:tcPr>
          <w:p w14:paraId="07DC8FC1">
            <w:pPr>
              <w:widowControl/>
              <w:spacing w:line="480" w:lineRule="auto"/>
              <w:jc w:val="center"/>
              <w:rPr>
                <w:rFonts w:hint="default" w:eastAsia="宋体"/>
                <w:color w:val="000000"/>
                <w:kern w:val="0"/>
                <w:szCs w:val="21"/>
                <w:lang w:val="en-US" w:eastAsia="zh-CN"/>
              </w:rPr>
            </w:pPr>
            <w:r>
              <w:rPr>
                <w:rFonts w:hint="eastAsia"/>
                <w:color w:val="000000"/>
                <w:kern w:val="0"/>
                <w:szCs w:val="21"/>
              </w:rPr>
              <w:t>68229</w:t>
            </w:r>
            <w:r>
              <w:rPr>
                <w:rFonts w:hint="eastAsia"/>
                <w:color w:val="000000"/>
                <w:kern w:val="0"/>
                <w:szCs w:val="21"/>
                <w:lang w:eastAsia="zh-CN"/>
              </w:rPr>
              <w:t>.</w:t>
            </w:r>
            <w:r>
              <w:rPr>
                <w:rFonts w:hint="eastAsia"/>
                <w:color w:val="000000"/>
                <w:kern w:val="0"/>
                <w:szCs w:val="21"/>
              </w:rPr>
              <w:t>61</w:t>
            </w:r>
          </w:p>
        </w:tc>
        <w:tc>
          <w:tcPr>
            <w:tcW w:w="1437" w:type="dxa"/>
            <w:noWrap/>
            <w:vAlign w:val="top"/>
          </w:tcPr>
          <w:p w14:paraId="1ABBCAD6">
            <w:pPr>
              <w:widowControl/>
              <w:spacing w:line="480" w:lineRule="auto"/>
              <w:jc w:val="center"/>
              <w:rPr>
                <w:rFonts w:hint="default" w:eastAsia="宋体"/>
                <w:color w:val="000000"/>
                <w:kern w:val="0"/>
                <w:szCs w:val="21"/>
                <w:lang w:val="en-US" w:eastAsia="zh-CN"/>
              </w:rPr>
            </w:pPr>
            <w:r>
              <w:rPr>
                <w:rFonts w:hint="eastAsia"/>
                <w:color w:val="000000"/>
                <w:kern w:val="0"/>
                <w:szCs w:val="21"/>
                <w:lang w:val="en-US" w:eastAsia="zh-CN"/>
              </w:rPr>
              <w:t>110103.00</w:t>
            </w:r>
          </w:p>
        </w:tc>
        <w:tc>
          <w:tcPr>
            <w:tcW w:w="1437" w:type="dxa"/>
            <w:noWrap/>
            <w:vAlign w:val="top"/>
          </w:tcPr>
          <w:p w14:paraId="7286298C">
            <w:pPr>
              <w:widowControl/>
              <w:spacing w:line="480" w:lineRule="auto"/>
              <w:jc w:val="center"/>
              <w:rPr>
                <w:rFonts w:hint="default" w:eastAsia="宋体"/>
                <w:color w:val="000000"/>
                <w:kern w:val="0"/>
                <w:szCs w:val="21"/>
                <w:lang w:val="en-US" w:eastAsia="zh-CN"/>
              </w:rPr>
            </w:pPr>
            <w:r>
              <w:rPr>
                <w:rFonts w:hint="eastAsia"/>
                <w:color w:val="000000"/>
                <w:kern w:val="0"/>
                <w:szCs w:val="21"/>
                <w:lang w:val="en-US" w:eastAsia="zh-CN"/>
              </w:rPr>
              <w:t>147806.63</w:t>
            </w:r>
          </w:p>
        </w:tc>
        <w:tc>
          <w:tcPr>
            <w:tcW w:w="1438" w:type="dxa"/>
            <w:noWrap/>
            <w:vAlign w:val="top"/>
          </w:tcPr>
          <w:p w14:paraId="7185731A">
            <w:pPr>
              <w:widowControl/>
              <w:spacing w:line="480" w:lineRule="auto"/>
              <w:jc w:val="center"/>
              <w:rPr>
                <w:rFonts w:hint="default" w:eastAsia="宋体"/>
                <w:color w:val="000000"/>
                <w:kern w:val="0"/>
                <w:szCs w:val="21"/>
                <w:lang w:val="en-US" w:eastAsia="zh-CN"/>
              </w:rPr>
            </w:pPr>
            <w:r>
              <w:rPr>
                <w:rFonts w:hint="eastAsia"/>
                <w:color w:val="000000"/>
                <w:kern w:val="0"/>
                <w:szCs w:val="21"/>
                <w:lang w:val="en-US" w:eastAsia="zh-CN"/>
              </w:rPr>
              <w:t>148483.12</w:t>
            </w:r>
          </w:p>
        </w:tc>
      </w:tr>
      <w:tr w14:paraId="49A77E3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42792EFF">
            <w:pPr>
              <w:widowControl/>
              <w:jc w:val="center"/>
              <w:rPr>
                <w:rFonts w:hint="eastAsia" w:eastAsia="宋体"/>
                <w:color w:val="000000"/>
                <w:kern w:val="0"/>
                <w:szCs w:val="21"/>
                <w:lang w:val="en-US" w:eastAsia="zh-CN"/>
              </w:rPr>
            </w:pPr>
            <w:r>
              <w:rPr>
                <w:rFonts w:hint="eastAsia"/>
                <w:color w:val="000000"/>
                <w:kern w:val="0"/>
                <w:szCs w:val="21"/>
                <w:lang w:val="en-US" w:eastAsia="zh-CN"/>
              </w:rPr>
              <w:t>销售净利率</w:t>
            </w:r>
          </w:p>
        </w:tc>
        <w:tc>
          <w:tcPr>
            <w:tcW w:w="1346" w:type="dxa"/>
            <w:noWrap/>
            <w:vAlign w:val="top"/>
          </w:tcPr>
          <w:p w14:paraId="59D6542B">
            <w:pPr>
              <w:widowControl/>
              <w:jc w:val="center"/>
              <w:rPr>
                <w:rFonts w:hint="default" w:eastAsia="宋体"/>
                <w:color w:val="000000"/>
                <w:kern w:val="0"/>
                <w:szCs w:val="21"/>
                <w:lang w:val="en-US" w:eastAsia="zh-CN"/>
              </w:rPr>
            </w:pPr>
            <w:r>
              <w:rPr>
                <w:rFonts w:hint="eastAsia"/>
                <w:color w:val="000000"/>
                <w:kern w:val="0"/>
                <w:szCs w:val="21"/>
                <w:lang w:val="en-US" w:eastAsia="zh-CN"/>
              </w:rPr>
              <w:t>8.67</w:t>
            </w:r>
            <w:r>
              <w:rPr>
                <w:rFonts w:hint="default" w:eastAsia="宋体"/>
                <w:color w:val="000000"/>
                <w:kern w:val="0"/>
                <w:szCs w:val="21"/>
                <w:lang w:val="en-US" w:eastAsia="zh-CN"/>
              </w:rPr>
              <w:t>%</w:t>
            </w:r>
          </w:p>
        </w:tc>
        <w:tc>
          <w:tcPr>
            <w:tcW w:w="1346" w:type="dxa"/>
            <w:noWrap/>
            <w:vAlign w:val="top"/>
          </w:tcPr>
          <w:p w14:paraId="0C33D6FD">
            <w:pPr>
              <w:widowControl/>
              <w:jc w:val="center"/>
              <w:rPr>
                <w:color w:val="000000"/>
                <w:kern w:val="0"/>
                <w:szCs w:val="21"/>
              </w:rPr>
            </w:pPr>
            <w:r>
              <w:rPr>
                <w:rFonts w:hint="eastAsia"/>
                <w:lang w:val="en-US" w:eastAsia="zh-CN"/>
              </w:rPr>
              <w:t>7.41</w:t>
            </w:r>
            <w:r>
              <w:rPr>
                <w:rFonts w:hint="eastAsia"/>
              </w:rPr>
              <w:t>%</w:t>
            </w:r>
          </w:p>
        </w:tc>
        <w:tc>
          <w:tcPr>
            <w:tcW w:w="1437" w:type="dxa"/>
            <w:noWrap/>
            <w:vAlign w:val="top"/>
          </w:tcPr>
          <w:p w14:paraId="1D494FC6">
            <w:pPr>
              <w:widowControl/>
              <w:jc w:val="center"/>
              <w:rPr>
                <w:color w:val="000000"/>
                <w:kern w:val="0"/>
                <w:szCs w:val="21"/>
              </w:rPr>
            </w:pPr>
            <w:r>
              <w:rPr>
                <w:rFonts w:hint="eastAsia"/>
                <w:lang w:val="en-US" w:eastAsia="zh-CN"/>
              </w:rPr>
              <w:t>9.17</w:t>
            </w:r>
            <w:r>
              <w:rPr>
                <w:rFonts w:hint="eastAsia"/>
              </w:rPr>
              <w:t>%</w:t>
            </w:r>
          </w:p>
        </w:tc>
        <w:tc>
          <w:tcPr>
            <w:tcW w:w="1437" w:type="dxa"/>
            <w:noWrap/>
            <w:vAlign w:val="top"/>
          </w:tcPr>
          <w:p w14:paraId="773A9162">
            <w:pPr>
              <w:widowControl/>
              <w:jc w:val="center"/>
              <w:rPr>
                <w:color w:val="000000"/>
                <w:kern w:val="0"/>
                <w:szCs w:val="21"/>
              </w:rPr>
            </w:pPr>
            <w:r>
              <w:rPr>
                <w:rFonts w:hint="eastAsia"/>
                <w:lang w:val="en-US" w:eastAsia="zh-CN"/>
              </w:rPr>
              <w:t>10.69</w:t>
            </w:r>
            <w:r>
              <w:rPr>
                <w:rFonts w:hint="eastAsia"/>
              </w:rPr>
              <w:t>%</w:t>
            </w:r>
          </w:p>
        </w:tc>
        <w:tc>
          <w:tcPr>
            <w:tcW w:w="1438" w:type="dxa"/>
            <w:noWrap/>
            <w:vAlign w:val="top"/>
          </w:tcPr>
          <w:p w14:paraId="018C9216">
            <w:pPr>
              <w:widowControl/>
              <w:jc w:val="center"/>
              <w:rPr>
                <w:color w:val="000000"/>
                <w:kern w:val="0"/>
                <w:szCs w:val="21"/>
              </w:rPr>
            </w:pPr>
            <w:r>
              <w:rPr>
                <w:rFonts w:hint="eastAsia"/>
                <w:lang w:val="en-US" w:eastAsia="zh-CN"/>
              </w:rPr>
              <w:t>10.01</w:t>
            </w:r>
            <w:r>
              <w:rPr>
                <w:rFonts w:hint="eastAsia"/>
              </w:rPr>
              <w:t>%</w:t>
            </w:r>
          </w:p>
        </w:tc>
      </w:tr>
      <w:tr w14:paraId="07AE350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78C96917">
            <w:pPr>
              <w:widowControl/>
              <w:jc w:val="center"/>
              <w:rPr>
                <w:rFonts w:hint="default" w:eastAsia="宋体"/>
                <w:color w:val="000000"/>
                <w:kern w:val="0"/>
                <w:szCs w:val="21"/>
                <w:lang w:val="en-US" w:eastAsia="zh-CN"/>
              </w:rPr>
            </w:pPr>
            <w:r>
              <w:rPr>
                <w:rFonts w:hint="eastAsia"/>
                <w:color w:val="000000"/>
                <w:kern w:val="0"/>
                <w:szCs w:val="21"/>
                <w:lang w:val="en-US" w:eastAsia="zh-CN"/>
              </w:rPr>
              <w:t>净资产收益率</w:t>
            </w:r>
          </w:p>
        </w:tc>
        <w:tc>
          <w:tcPr>
            <w:tcW w:w="1346" w:type="dxa"/>
            <w:noWrap/>
            <w:vAlign w:val="top"/>
          </w:tcPr>
          <w:p w14:paraId="026ECE1A">
            <w:pPr>
              <w:widowControl/>
              <w:jc w:val="center"/>
              <w:rPr>
                <w:rFonts w:hint="default" w:eastAsia="宋体"/>
                <w:color w:val="000000"/>
                <w:kern w:val="0"/>
                <w:szCs w:val="21"/>
                <w:lang w:val="en-US" w:eastAsia="zh-CN"/>
              </w:rPr>
            </w:pPr>
            <w:r>
              <w:rPr>
                <w:rFonts w:hint="eastAsia"/>
                <w:color w:val="000000"/>
                <w:kern w:val="0"/>
                <w:szCs w:val="21"/>
                <w:lang w:val="en-US" w:eastAsia="zh-CN"/>
              </w:rPr>
              <w:t>19.52%</w:t>
            </w:r>
          </w:p>
        </w:tc>
        <w:tc>
          <w:tcPr>
            <w:tcW w:w="1346" w:type="dxa"/>
            <w:noWrap/>
            <w:vAlign w:val="top"/>
          </w:tcPr>
          <w:p w14:paraId="7652B63D">
            <w:pPr>
              <w:widowControl/>
              <w:jc w:val="center"/>
              <w:rPr>
                <w:rFonts w:hint="default" w:eastAsia="宋体"/>
                <w:color w:val="000000"/>
                <w:kern w:val="0"/>
                <w:szCs w:val="21"/>
                <w:lang w:val="en-US" w:eastAsia="zh-CN"/>
              </w:rPr>
            </w:pPr>
            <w:r>
              <w:rPr>
                <w:rFonts w:hint="eastAsia"/>
                <w:color w:val="000000"/>
                <w:kern w:val="0"/>
                <w:szCs w:val="21"/>
                <w:lang w:val="en-US" w:eastAsia="zh-CN"/>
              </w:rPr>
              <w:t>15.56%</w:t>
            </w:r>
          </w:p>
        </w:tc>
        <w:tc>
          <w:tcPr>
            <w:tcW w:w="1437" w:type="dxa"/>
            <w:noWrap/>
            <w:vAlign w:val="top"/>
          </w:tcPr>
          <w:p w14:paraId="34B043DC">
            <w:pPr>
              <w:widowControl/>
              <w:jc w:val="center"/>
              <w:rPr>
                <w:rFonts w:hint="default" w:eastAsia="宋体"/>
                <w:color w:val="000000"/>
                <w:kern w:val="0"/>
                <w:szCs w:val="21"/>
                <w:lang w:val="en-US" w:eastAsia="zh-CN"/>
              </w:rPr>
            </w:pPr>
            <w:r>
              <w:rPr>
                <w:rFonts w:hint="eastAsia"/>
                <w:color w:val="000000"/>
                <w:kern w:val="0"/>
                <w:szCs w:val="21"/>
                <w:lang w:val="en-US" w:eastAsia="zh-CN"/>
              </w:rPr>
              <w:t>13.11%</w:t>
            </w:r>
          </w:p>
        </w:tc>
        <w:tc>
          <w:tcPr>
            <w:tcW w:w="1437" w:type="dxa"/>
            <w:noWrap/>
            <w:vAlign w:val="top"/>
          </w:tcPr>
          <w:p w14:paraId="3CFCB913">
            <w:pPr>
              <w:widowControl/>
              <w:jc w:val="center"/>
              <w:rPr>
                <w:rFonts w:hint="default" w:eastAsia="宋体"/>
                <w:color w:val="000000"/>
                <w:kern w:val="0"/>
                <w:szCs w:val="21"/>
                <w:lang w:val="en-US" w:eastAsia="zh-CN"/>
              </w:rPr>
            </w:pPr>
            <w:r>
              <w:rPr>
                <w:rFonts w:hint="eastAsia"/>
                <w:color w:val="000000"/>
                <w:kern w:val="0"/>
                <w:szCs w:val="21"/>
                <w:lang w:val="en-US" w:eastAsia="zh-CN"/>
              </w:rPr>
              <w:t>12.11%</w:t>
            </w:r>
          </w:p>
        </w:tc>
        <w:tc>
          <w:tcPr>
            <w:tcW w:w="1438" w:type="dxa"/>
            <w:noWrap/>
            <w:vAlign w:val="top"/>
          </w:tcPr>
          <w:p w14:paraId="56AFCF0C">
            <w:pPr>
              <w:widowControl/>
              <w:jc w:val="center"/>
              <w:rPr>
                <w:rFonts w:hint="default" w:eastAsia="宋体"/>
                <w:color w:val="000000"/>
                <w:kern w:val="0"/>
                <w:szCs w:val="21"/>
                <w:lang w:val="en-US" w:eastAsia="zh-CN"/>
              </w:rPr>
            </w:pPr>
            <w:r>
              <w:rPr>
                <w:rFonts w:hint="eastAsia"/>
                <w:color w:val="000000"/>
                <w:kern w:val="0"/>
                <w:szCs w:val="21"/>
                <w:lang w:val="en-US" w:eastAsia="zh-CN"/>
              </w:rPr>
              <w:t>11.57%</w:t>
            </w:r>
          </w:p>
        </w:tc>
      </w:tr>
    </w:tbl>
    <w:p w14:paraId="2159C5A8">
      <w:pPr>
        <w:spacing w:before="312" w:beforeLines="100" w:after="156" w:afterLines="50"/>
        <w:ind w:firstLine="480" w:firstLineChars="200"/>
        <w:outlineLvl w:val="1"/>
        <w:rPr>
          <w:rFonts w:hint="eastAsia" w:ascii="黑体" w:hAnsi="Times New Roman" w:eastAsia="黑体"/>
          <w:b/>
          <w:bCs/>
          <w:sz w:val="24"/>
          <w:szCs w:val="24"/>
          <w:lang w:val="en-US" w:eastAsia="zh-CN"/>
        </w:rPr>
      </w:pPr>
    </w:p>
    <w:p w14:paraId="4CD36575">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rFonts w:hint="eastAsia" w:ascii="宋体" w:hAnsi="宋体" w:cs="宋体"/>
          <w:bCs/>
          <w:sz w:val="24"/>
          <w:szCs w:val="24"/>
          <w:lang w:val="en-US" w:eastAsia="zh-CN"/>
        </w:rPr>
        <w:t>4.2.1</w:t>
      </w:r>
      <w:r>
        <w:rPr>
          <w:rFonts w:hint="eastAsia" w:ascii="宋体" w:hAnsi="宋体"/>
          <w:sz w:val="24"/>
          <w:szCs w:val="24"/>
          <w:lang w:val="en-US" w:eastAsia="zh-CN"/>
        </w:rPr>
        <w:t>企业营业收入、净利润稳步上涨</w:t>
      </w:r>
    </w:p>
    <w:p w14:paraId="21C6BFF2">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p>
    <w:p w14:paraId="0650267D">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rFonts w:hint="eastAsia" w:ascii="宋体" w:hAnsi="宋体" w:cs="宋体"/>
          <w:bCs/>
          <w:sz w:val="24"/>
          <w:szCs w:val="24"/>
          <w:lang w:val="en-US" w:eastAsia="zh-CN"/>
        </w:rPr>
        <w:t>4.2.2</w:t>
      </w:r>
      <w:r>
        <w:rPr>
          <w:rFonts w:hint="eastAsia" w:ascii="宋体" w:hAnsi="宋体"/>
          <w:sz w:val="24"/>
          <w:szCs w:val="24"/>
          <w:lang w:val="en-US" w:eastAsia="zh-CN"/>
        </w:rPr>
        <w:t>销售净利率逐步提高</w:t>
      </w:r>
    </w:p>
    <w:p w14:paraId="7EBE6FC4">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p>
    <w:p w14:paraId="5941059F">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rFonts w:hint="eastAsia" w:ascii="宋体" w:hAnsi="宋体"/>
          <w:sz w:val="24"/>
          <w:szCs w:val="24"/>
          <w:lang w:val="en-US" w:eastAsia="zh-CN"/>
        </w:rPr>
        <w:t>4.2.3净资产收益率有所下降</w:t>
      </w:r>
    </w:p>
    <w:p w14:paraId="405BA1AB">
      <w:pPr>
        <w:widowControl/>
        <w:tabs>
          <w:tab w:val="center" w:pos="4139"/>
          <w:tab w:val="left" w:pos="7545"/>
          <w:tab w:val="right" w:leader="middleDot" w:pos="7740"/>
        </w:tabs>
        <w:spacing w:before="312" w:beforeLines="100" w:after="156" w:afterLines="50"/>
        <w:ind w:firstLine="480" w:firstLineChars="200"/>
        <w:outlineLvl w:val="2"/>
        <w:rPr>
          <w:rFonts w:hint="default" w:ascii="宋体" w:hAnsi="宋体"/>
          <w:sz w:val="24"/>
          <w:szCs w:val="24"/>
          <w:lang w:val="en-US" w:eastAsia="zh-CN"/>
        </w:rPr>
      </w:pPr>
    </w:p>
    <w:p w14:paraId="2D863284">
      <w:pPr>
        <w:spacing w:before="312" w:beforeLines="100" w:after="156" w:afterLines="50"/>
        <w:ind w:firstLine="480" w:firstLineChars="200"/>
        <w:outlineLvl w:val="1"/>
        <w:rPr>
          <w:rFonts w:hint="default" w:ascii="黑体" w:hAnsi="Times New Roman" w:eastAsia="黑体"/>
          <w:b/>
          <w:bCs/>
          <w:sz w:val="24"/>
          <w:szCs w:val="24"/>
          <w:lang w:val="en-US" w:eastAsia="zh-CN"/>
        </w:rPr>
      </w:pPr>
    </w:p>
    <w:p w14:paraId="7576E63A">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55" w:name="_Toc196465081"/>
      <w:bookmarkStart w:id="56" w:name="_Toc196321921"/>
      <w:r>
        <w:rPr>
          <w:rFonts w:ascii="黑体" w:hAnsi="Times New Roman" w:eastAsia="黑体"/>
          <w:b/>
          <w:bCs/>
          <w:sz w:val="24"/>
          <w:szCs w:val="24"/>
        </w:rPr>
        <w:t xml:space="preserve">4.3 </w:t>
      </w:r>
      <w:bookmarkEnd w:id="55"/>
      <w:bookmarkEnd w:id="56"/>
      <w:r>
        <w:rPr>
          <w:rFonts w:hint="eastAsia" w:ascii="黑体" w:hAnsi="Times New Roman" w:eastAsia="黑体"/>
          <w:b/>
          <w:bCs/>
          <w:sz w:val="24"/>
          <w:szCs w:val="24"/>
          <w:lang w:val="en-US" w:eastAsia="zh-CN"/>
        </w:rPr>
        <w:t>营运能力分析</w:t>
      </w:r>
    </w:p>
    <w:p w14:paraId="6F9FCAF2">
      <w:pPr>
        <w:keepNext w:val="0"/>
        <w:keepLines w:val="0"/>
        <w:widowControl/>
        <w:suppressLineNumbers w:val="0"/>
        <w:ind w:firstLine="480" w:firstLineChars="200"/>
        <w:jc w:val="left"/>
        <w:rPr>
          <w:rFonts w:hint="default" w:ascii="宋体" w:hAnsi="宋体" w:cs="Times New Roman"/>
          <w:sz w:val="24"/>
          <w:szCs w:val="24"/>
          <w:lang w:val="en-US" w:eastAsia="zh-CN"/>
        </w:rPr>
      </w:pPr>
      <w:r>
        <w:rPr>
          <w:rFonts w:hint="default" w:ascii="宋体" w:hAnsi="宋体" w:cs="Times New Roman"/>
          <w:sz w:val="24"/>
          <w:szCs w:val="24"/>
          <w:lang w:val="en-US" w:eastAsia="zh-CN"/>
        </w:rPr>
        <w:t>营运能力，又称资产营运效率，是衡量企业管理与运用各项资产以产生销售收入能力的核心指标。它关注的是企业资产从“投入”到“产出”的周转速度与效率，解答的是“企业是否在高效地运用其资产”这一关键问题。营运能力分析的核心逻辑在于：在利润水平既定的情况下，资产周转得越快，企业用同等资产创造的收入就越多，整体盈利能力和竞争力就越强。具体通过一系列周转率指标来体现：存货周转率反映了从原材料采购到产品售出的流转速度，</w:t>
      </w:r>
      <w:r>
        <w:rPr>
          <w:rFonts w:hint="eastAsia" w:ascii="宋体" w:hAnsi="宋体" w:cs="Times New Roman"/>
          <w:sz w:val="24"/>
          <w:szCs w:val="24"/>
          <w:lang w:val="en-US" w:eastAsia="zh-CN"/>
        </w:rPr>
        <w:t>存货周转率提升能够</w:t>
      </w:r>
      <w:r>
        <w:rPr>
          <w:rFonts w:hint="default" w:ascii="宋体" w:hAnsi="宋体" w:cs="Times New Roman"/>
          <w:sz w:val="24"/>
          <w:szCs w:val="24"/>
          <w:lang w:val="en-US" w:eastAsia="zh-CN"/>
        </w:rPr>
        <w:t>减少资金占用和跌价风险；应收账款周转率衡量了企业收回销售款项的效率，直接关联现金流健康度；总资产周转率则作为综合性指标，评估企业全部资产的总体利用效能。深入分析营运能力具有至关重要的意义</w:t>
      </w:r>
      <w:r>
        <w:rPr>
          <w:rFonts w:hint="eastAsia" w:ascii="宋体" w:hAnsi="宋体" w:cs="Times New Roman"/>
          <w:sz w:val="24"/>
          <w:szCs w:val="24"/>
          <w:lang w:val="en-US" w:eastAsia="zh-CN"/>
        </w:rPr>
        <w:t>。</w:t>
      </w:r>
      <w:r>
        <w:rPr>
          <w:rFonts w:hint="default" w:ascii="宋体" w:hAnsi="宋体" w:cs="Times New Roman"/>
          <w:sz w:val="24"/>
          <w:szCs w:val="24"/>
          <w:lang w:val="en-US" w:eastAsia="zh-CN"/>
        </w:rPr>
        <w:t>因此，营运能力与盈利能力、偿债能力共同构成财务分析的铁三角，是企业实现稳健经营与价值增值的效率基石。</w:t>
      </w:r>
    </w:p>
    <w:p w14:paraId="673E1EB9">
      <w:pPr>
        <w:pStyle w:val="4"/>
        <w:jc w:val="center"/>
        <w:rPr>
          <w:rFonts w:ascii="Times New Roman" w:hAnsi="Times New Roman"/>
        </w:rPr>
      </w:pPr>
      <w:r>
        <w:rPr>
          <w:rFonts w:ascii="Times New Roman" w:hAnsi="Times New Roman"/>
        </w:rPr>
        <w:t xml:space="preserve">表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w:t>
      </w:r>
      <w:r>
        <w:rPr>
          <w:rFonts w:hint="eastAsia" w:ascii="Times New Roman" w:hAnsi="Times New Roman"/>
          <w:lang w:val="en-US" w:eastAsia="zh-CN"/>
        </w:rPr>
        <w:t>营运</w:t>
      </w:r>
      <w:r>
        <w:rPr>
          <w:rFonts w:ascii="Times New Roman" w:hAnsi="Times New Roman"/>
        </w:rPr>
        <w:t>能力指标</w:t>
      </w:r>
    </w:p>
    <w:tbl>
      <w:tblPr>
        <w:tblStyle w:val="12"/>
        <w:tblW w:w="8720" w:type="dxa"/>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1716"/>
        <w:gridCol w:w="1346"/>
        <w:gridCol w:w="1346"/>
        <w:gridCol w:w="1437"/>
        <w:gridCol w:w="1437"/>
        <w:gridCol w:w="1438"/>
      </w:tblGrid>
      <w:tr w14:paraId="6874290F">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29ECA3D4">
            <w:pPr>
              <w:widowControl/>
              <w:jc w:val="center"/>
              <w:rPr>
                <w:color w:val="000000"/>
                <w:kern w:val="0"/>
                <w:szCs w:val="21"/>
              </w:rPr>
            </w:pPr>
            <w:r>
              <w:rPr>
                <w:color w:val="000000"/>
                <w:kern w:val="0"/>
                <w:szCs w:val="21"/>
              </w:rPr>
              <w:t>科目\时间</w:t>
            </w:r>
          </w:p>
        </w:tc>
        <w:tc>
          <w:tcPr>
            <w:tcW w:w="1346" w:type="dxa"/>
            <w:noWrap/>
            <w:vAlign w:val="top"/>
          </w:tcPr>
          <w:p w14:paraId="466C8209">
            <w:pPr>
              <w:widowControl/>
              <w:jc w:val="center"/>
              <w:rPr>
                <w:color w:val="000000"/>
                <w:kern w:val="0"/>
                <w:szCs w:val="21"/>
              </w:rPr>
            </w:pPr>
            <w:r>
              <w:rPr>
                <w:color w:val="000000"/>
                <w:kern w:val="0"/>
                <w:szCs w:val="21"/>
              </w:rPr>
              <w:t>20</w:t>
            </w:r>
            <w:r>
              <w:rPr>
                <w:rFonts w:hint="eastAsia"/>
                <w:color w:val="000000"/>
                <w:kern w:val="0"/>
                <w:szCs w:val="21"/>
                <w:lang w:val="en-US" w:eastAsia="zh-CN"/>
              </w:rPr>
              <w:t>20</w:t>
            </w:r>
            <w:r>
              <w:rPr>
                <w:color w:val="000000"/>
                <w:kern w:val="0"/>
                <w:szCs w:val="21"/>
              </w:rPr>
              <w:t>年</w:t>
            </w:r>
          </w:p>
        </w:tc>
        <w:tc>
          <w:tcPr>
            <w:tcW w:w="1346" w:type="dxa"/>
            <w:noWrap/>
            <w:vAlign w:val="top"/>
          </w:tcPr>
          <w:p w14:paraId="050EBE4C">
            <w:pPr>
              <w:widowControl/>
              <w:jc w:val="center"/>
              <w:rPr>
                <w:color w:val="000000"/>
                <w:kern w:val="0"/>
                <w:szCs w:val="21"/>
              </w:rPr>
            </w:pPr>
            <w:r>
              <w:rPr>
                <w:color w:val="000000"/>
                <w:kern w:val="0"/>
                <w:szCs w:val="21"/>
              </w:rPr>
              <w:t>202</w:t>
            </w:r>
            <w:r>
              <w:rPr>
                <w:rFonts w:hint="eastAsia"/>
                <w:color w:val="000000"/>
                <w:kern w:val="0"/>
                <w:szCs w:val="21"/>
                <w:lang w:val="en-US" w:eastAsia="zh-CN"/>
              </w:rPr>
              <w:t>1</w:t>
            </w:r>
            <w:r>
              <w:rPr>
                <w:color w:val="000000"/>
                <w:kern w:val="0"/>
                <w:szCs w:val="21"/>
              </w:rPr>
              <w:t>年</w:t>
            </w:r>
          </w:p>
        </w:tc>
        <w:tc>
          <w:tcPr>
            <w:tcW w:w="1437" w:type="dxa"/>
            <w:noWrap/>
            <w:vAlign w:val="top"/>
          </w:tcPr>
          <w:p w14:paraId="69B9B419">
            <w:pPr>
              <w:widowControl/>
              <w:jc w:val="center"/>
              <w:rPr>
                <w:color w:val="000000"/>
                <w:kern w:val="0"/>
                <w:szCs w:val="21"/>
              </w:rPr>
            </w:pPr>
            <w:r>
              <w:rPr>
                <w:color w:val="000000"/>
                <w:kern w:val="0"/>
                <w:szCs w:val="21"/>
              </w:rPr>
              <w:t>202</w:t>
            </w:r>
            <w:r>
              <w:rPr>
                <w:rFonts w:hint="eastAsia"/>
                <w:color w:val="000000"/>
                <w:kern w:val="0"/>
                <w:szCs w:val="21"/>
                <w:lang w:val="en-US" w:eastAsia="zh-CN"/>
              </w:rPr>
              <w:t>2</w:t>
            </w:r>
            <w:r>
              <w:rPr>
                <w:color w:val="000000"/>
                <w:kern w:val="0"/>
                <w:szCs w:val="21"/>
              </w:rPr>
              <w:t>年</w:t>
            </w:r>
          </w:p>
        </w:tc>
        <w:tc>
          <w:tcPr>
            <w:tcW w:w="1437" w:type="dxa"/>
            <w:noWrap/>
            <w:vAlign w:val="top"/>
          </w:tcPr>
          <w:p w14:paraId="25AF2F2C">
            <w:pPr>
              <w:widowControl/>
              <w:jc w:val="center"/>
              <w:rPr>
                <w:color w:val="000000"/>
                <w:kern w:val="0"/>
                <w:szCs w:val="21"/>
              </w:rPr>
            </w:pPr>
            <w:r>
              <w:rPr>
                <w:color w:val="000000"/>
                <w:kern w:val="0"/>
                <w:szCs w:val="21"/>
              </w:rPr>
              <w:t>202</w:t>
            </w:r>
            <w:r>
              <w:rPr>
                <w:rFonts w:hint="eastAsia"/>
                <w:color w:val="000000"/>
                <w:kern w:val="0"/>
                <w:szCs w:val="21"/>
                <w:lang w:val="en-US" w:eastAsia="zh-CN"/>
              </w:rPr>
              <w:t>3</w:t>
            </w:r>
            <w:r>
              <w:rPr>
                <w:color w:val="000000"/>
                <w:kern w:val="0"/>
                <w:szCs w:val="21"/>
              </w:rPr>
              <w:t>年</w:t>
            </w:r>
          </w:p>
        </w:tc>
        <w:tc>
          <w:tcPr>
            <w:tcW w:w="1438" w:type="dxa"/>
            <w:noWrap/>
            <w:vAlign w:val="top"/>
          </w:tcPr>
          <w:p w14:paraId="33499BFA">
            <w:pPr>
              <w:widowControl/>
              <w:jc w:val="center"/>
              <w:rPr>
                <w:color w:val="000000"/>
                <w:kern w:val="0"/>
                <w:szCs w:val="21"/>
              </w:rPr>
            </w:pPr>
            <w:r>
              <w:rPr>
                <w:color w:val="000000"/>
                <w:kern w:val="0"/>
                <w:szCs w:val="21"/>
              </w:rPr>
              <w:t>202</w:t>
            </w:r>
            <w:r>
              <w:rPr>
                <w:rFonts w:hint="eastAsia"/>
                <w:color w:val="000000"/>
                <w:kern w:val="0"/>
                <w:szCs w:val="21"/>
                <w:lang w:val="en-US" w:eastAsia="zh-CN"/>
              </w:rPr>
              <w:t>4</w:t>
            </w:r>
            <w:r>
              <w:rPr>
                <w:color w:val="000000"/>
                <w:kern w:val="0"/>
                <w:szCs w:val="21"/>
              </w:rPr>
              <w:t>年</w:t>
            </w:r>
          </w:p>
        </w:tc>
      </w:tr>
      <w:tr w14:paraId="09A5AA90">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339" w:hRule="atLeast"/>
          <w:jc w:val="center"/>
        </w:trPr>
        <w:tc>
          <w:tcPr>
            <w:tcW w:w="1716" w:type="dxa"/>
            <w:noWrap/>
            <w:vAlign w:val="top"/>
          </w:tcPr>
          <w:p w14:paraId="53BD4FCD">
            <w:pPr>
              <w:widowControl/>
              <w:tabs>
                <w:tab w:val="center" w:pos="810"/>
                <w:tab w:val="right" w:pos="1500"/>
              </w:tabs>
              <w:jc w:val="left"/>
              <w:rPr>
                <w:rFonts w:hint="default" w:eastAsia="宋体"/>
                <w:color w:val="000000"/>
                <w:kern w:val="0"/>
                <w:szCs w:val="21"/>
                <w:lang w:val="en-US" w:eastAsia="zh-CN"/>
              </w:rPr>
            </w:pPr>
            <w:r>
              <w:rPr>
                <w:rFonts w:hint="eastAsia"/>
                <w:color w:val="000000"/>
                <w:kern w:val="0"/>
                <w:szCs w:val="21"/>
                <w:lang w:val="en-US" w:eastAsia="zh-CN"/>
              </w:rPr>
              <w:tab/>
              <w:t>应收账款周转率</w:t>
            </w:r>
          </w:p>
        </w:tc>
        <w:tc>
          <w:tcPr>
            <w:tcW w:w="1346" w:type="dxa"/>
            <w:noWrap/>
            <w:vAlign w:val="top"/>
          </w:tcPr>
          <w:p w14:paraId="63F9DC14">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26.84</w:t>
            </w:r>
          </w:p>
        </w:tc>
        <w:tc>
          <w:tcPr>
            <w:tcW w:w="1346" w:type="dxa"/>
            <w:noWrap/>
            <w:vAlign w:val="top"/>
          </w:tcPr>
          <w:p w14:paraId="39B97F56">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20.82</w:t>
            </w:r>
          </w:p>
        </w:tc>
        <w:tc>
          <w:tcPr>
            <w:tcW w:w="1437" w:type="dxa"/>
            <w:noWrap/>
            <w:vAlign w:val="top"/>
          </w:tcPr>
          <w:p w14:paraId="41E272F6">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19.07</w:t>
            </w:r>
          </w:p>
        </w:tc>
        <w:tc>
          <w:tcPr>
            <w:tcW w:w="1437" w:type="dxa"/>
            <w:noWrap/>
            <w:vAlign w:val="top"/>
          </w:tcPr>
          <w:p w14:paraId="09A38F01">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21.51</w:t>
            </w:r>
          </w:p>
        </w:tc>
        <w:tc>
          <w:tcPr>
            <w:tcW w:w="1438" w:type="dxa"/>
            <w:noWrap/>
            <w:vAlign w:val="top"/>
          </w:tcPr>
          <w:p w14:paraId="34DC03AF">
            <w:pPr>
              <w:widowControl/>
              <w:jc w:val="center"/>
              <w:rPr>
                <w:rFonts w:hint="default" w:eastAsia="宋体"/>
                <w:color w:val="000000"/>
                <w:kern w:val="0"/>
                <w:sz w:val="21"/>
                <w:szCs w:val="21"/>
                <w:lang w:val="en-US" w:eastAsia="zh-CN"/>
              </w:rPr>
            </w:pPr>
            <w:r>
              <w:rPr>
                <w:rFonts w:hint="eastAsia"/>
                <w:color w:val="000000"/>
                <w:kern w:val="0"/>
                <w:sz w:val="21"/>
                <w:szCs w:val="21"/>
                <w:lang w:val="en-US" w:eastAsia="zh-CN"/>
              </w:rPr>
              <w:t>25.31</w:t>
            </w:r>
          </w:p>
        </w:tc>
      </w:tr>
      <w:tr w14:paraId="4C8C8227">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359" w:hRule="atLeast"/>
          <w:jc w:val="center"/>
        </w:trPr>
        <w:tc>
          <w:tcPr>
            <w:tcW w:w="1716" w:type="dxa"/>
            <w:noWrap/>
            <w:vAlign w:val="top"/>
          </w:tcPr>
          <w:p w14:paraId="5AD4A79E">
            <w:pPr>
              <w:widowControl/>
              <w:spacing w:line="240" w:lineRule="auto"/>
              <w:jc w:val="center"/>
              <w:rPr>
                <w:rFonts w:hint="default" w:eastAsia="宋体"/>
                <w:color w:val="000000"/>
                <w:kern w:val="0"/>
                <w:szCs w:val="21"/>
                <w:lang w:val="en-US" w:eastAsia="zh-CN"/>
              </w:rPr>
            </w:pPr>
            <w:r>
              <w:rPr>
                <w:rFonts w:hint="eastAsia"/>
                <w:color w:val="000000"/>
                <w:kern w:val="0"/>
                <w:szCs w:val="21"/>
                <w:lang w:val="en-US" w:eastAsia="zh-CN"/>
              </w:rPr>
              <w:t>存货周转率</w:t>
            </w:r>
          </w:p>
        </w:tc>
        <w:tc>
          <w:tcPr>
            <w:tcW w:w="1346" w:type="dxa"/>
            <w:noWrap/>
            <w:vAlign w:val="top"/>
          </w:tcPr>
          <w:p w14:paraId="69E3CF5C">
            <w:pPr>
              <w:widowControl/>
              <w:spacing w:line="240" w:lineRule="auto"/>
              <w:jc w:val="center"/>
              <w:rPr>
                <w:rFonts w:hint="default" w:eastAsia="宋体"/>
                <w:color w:val="000000"/>
                <w:kern w:val="0"/>
                <w:szCs w:val="21"/>
                <w:lang w:val="en-US" w:eastAsia="zh-CN"/>
              </w:rPr>
            </w:pPr>
            <w:r>
              <w:rPr>
                <w:rFonts w:hint="eastAsia"/>
                <w:color w:val="000000"/>
                <w:kern w:val="0"/>
                <w:szCs w:val="21"/>
                <w:lang w:val="en-US" w:eastAsia="zh-CN"/>
              </w:rPr>
              <w:t>3.02</w:t>
            </w:r>
          </w:p>
        </w:tc>
        <w:tc>
          <w:tcPr>
            <w:tcW w:w="1346" w:type="dxa"/>
            <w:noWrap/>
            <w:vAlign w:val="top"/>
          </w:tcPr>
          <w:p w14:paraId="4077FF87">
            <w:pPr>
              <w:widowControl/>
              <w:spacing w:line="240" w:lineRule="auto"/>
              <w:jc w:val="center"/>
              <w:rPr>
                <w:rFonts w:hint="default" w:eastAsia="宋体"/>
                <w:color w:val="000000"/>
                <w:kern w:val="0"/>
                <w:szCs w:val="21"/>
                <w:lang w:val="en-US" w:eastAsia="zh-CN"/>
              </w:rPr>
            </w:pPr>
            <w:r>
              <w:rPr>
                <w:rFonts w:hint="eastAsia"/>
                <w:color w:val="000000"/>
                <w:kern w:val="0"/>
                <w:szCs w:val="21"/>
                <w:lang w:val="en-US" w:eastAsia="zh-CN"/>
              </w:rPr>
              <w:t>3.52</w:t>
            </w:r>
          </w:p>
        </w:tc>
        <w:tc>
          <w:tcPr>
            <w:tcW w:w="1437" w:type="dxa"/>
            <w:noWrap/>
            <w:vAlign w:val="top"/>
          </w:tcPr>
          <w:p w14:paraId="1210C0D9">
            <w:pPr>
              <w:widowControl/>
              <w:spacing w:line="240" w:lineRule="auto"/>
              <w:jc w:val="center"/>
              <w:rPr>
                <w:rFonts w:hint="default" w:eastAsia="宋体"/>
                <w:color w:val="000000"/>
                <w:kern w:val="0"/>
                <w:szCs w:val="21"/>
                <w:lang w:val="en-US" w:eastAsia="zh-CN"/>
              </w:rPr>
            </w:pPr>
            <w:r>
              <w:rPr>
                <w:rFonts w:hint="eastAsia"/>
                <w:color w:val="000000"/>
                <w:kern w:val="0"/>
                <w:szCs w:val="21"/>
                <w:lang w:val="en-US" w:eastAsia="zh-CN"/>
              </w:rPr>
              <w:t>3.43</w:t>
            </w:r>
          </w:p>
        </w:tc>
        <w:tc>
          <w:tcPr>
            <w:tcW w:w="1437" w:type="dxa"/>
            <w:noWrap/>
            <w:vAlign w:val="top"/>
          </w:tcPr>
          <w:p w14:paraId="60AC16C7">
            <w:pPr>
              <w:widowControl/>
              <w:spacing w:line="240" w:lineRule="auto"/>
              <w:jc w:val="center"/>
              <w:rPr>
                <w:rFonts w:hint="default" w:eastAsia="宋体"/>
                <w:color w:val="000000"/>
                <w:kern w:val="0"/>
                <w:szCs w:val="21"/>
                <w:lang w:val="en-US" w:eastAsia="zh-CN"/>
              </w:rPr>
            </w:pPr>
            <w:r>
              <w:rPr>
                <w:rFonts w:hint="eastAsia"/>
                <w:color w:val="000000"/>
                <w:kern w:val="0"/>
                <w:szCs w:val="21"/>
                <w:lang w:val="en-US" w:eastAsia="zh-CN"/>
              </w:rPr>
              <w:t>3.22</w:t>
            </w:r>
          </w:p>
        </w:tc>
        <w:tc>
          <w:tcPr>
            <w:tcW w:w="1438" w:type="dxa"/>
            <w:noWrap/>
            <w:vAlign w:val="top"/>
          </w:tcPr>
          <w:p w14:paraId="7FB331C3">
            <w:pPr>
              <w:widowControl/>
              <w:spacing w:line="240" w:lineRule="auto"/>
              <w:jc w:val="center"/>
              <w:rPr>
                <w:rFonts w:hint="default" w:eastAsia="宋体"/>
                <w:color w:val="000000"/>
                <w:kern w:val="0"/>
                <w:szCs w:val="21"/>
                <w:lang w:val="en-US" w:eastAsia="zh-CN"/>
              </w:rPr>
            </w:pPr>
            <w:r>
              <w:rPr>
                <w:rFonts w:hint="eastAsia"/>
                <w:color w:val="000000"/>
                <w:kern w:val="0"/>
                <w:szCs w:val="21"/>
                <w:lang w:val="en-US" w:eastAsia="zh-CN"/>
              </w:rPr>
              <w:t>3.39</w:t>
            </w:r>
          </w:p>
        </w:tc>
      </w:tr>
      <w:tr w14:paraId="6EC3099F">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72BBDDB2">
            <w:pPr>
              <w:widowControl/>
              <w:jc w:val="center"/>
              <w:rPr>
                <w:rFonts w:hint="default" w:eastAsia="宋体"/>
                <w:color w:val="000000"/>
                <w:kern w:val="0"/>
                <w:szCs w:val="21"/>
                <w:lang w:val="en-US" w:eastAsia="zh-CN"/>
              </w:rPr>
            </w:pPr>
            <w:r>
              <w:rPr>
                <w:rFonts w:hint="eastAsia"/>
                <w:color w:val="000000"/>
                <w:kern w:val="0"/>
                <w:szCs w:val="21"/>
                <w:lang w:val="en-US" w:eastAsia="zh-CN"/>
              </w:rPr>
              <w:t>流动资产周转率</w:t>
            </w:r>
          </w:p>
        </w:tc>
        <w:tc>
          <w:tcPr>
            <w:tcW w:w="1346" w:type="dxa"/>
            <w:noWrap/>
            <w:vAlign w:val="top"/>
          </w:tcPr>
          <w:p w14:paraId="3D0EC2CD">
            <w:pPr>
              <w:widowControl/>
              <w:jc w:val="center"/>
              <w:rPr>
                <w:rFonts w:hint="default" w:eastAsia="宋体"/>
                <w:color w:val="000000"/>
                <w:kern w:val="0"/>
                <w:szCs w:val="21"/>
                <w:lang w:val="en-US" w:eastAsia="zh-CN"/>
              </w:rPr>
            </w:pPr>
            <w:r>
              <w:rPr>
                <w:rFonts w:hint="eastAsia"/>
                <w:color w:val="000000"/>
                <w:kern w:val="0"/>
                <w:szCs w:val="21"/>
                <w:lang w:val="en-US" w:eastAsia="zh-CN"/>
              </w:rPr>
              <w:t>1.86</w:t>
            </w:r>
          </w:p>
        </w:tc>
        <w:tc>
          <w:tcPr>
            <w:tcW w:w="1346" w:type="dxa"/>
            <w:noWrap/>
            <w:vAlign w:val="top"/>
          </w:tcPr>
          <w:p w14:paraId="715911CD">
            <w:pPr>
              <w:widowControl/>
              <w:jc w:val="center"/>
              <w:rPr>
                <w:rFonts w:hint="default" w:eastAsia="宋体"/>
                <w:color w:val="000000"/>
                <w:kern w:val="0"/>
                <w:szCs w:val="21"/>
                <w:lang w:val="en-US" w:eastAsia="zh-CN"/>
              </w:rPr>
            </w:pPr>
            <w:r>
              <w:rPr>
                <w:rFonts w:hint="eastAsia"/>
                <w:color w:val="000000"/>
                <w:kern w:val="0"/>
                <w:szCs w:val="21"/>
                <w:lang w:val="en-US" w:eastAsia="zh-CN"/>
              </w:rPr>
              <w:t>2.18</w:t>
            </w:r>
          </w:p>
        </w:tc>
        <w:tc>
          <w:tcPr>
            <w:tcW w:w="1437" w:type="dxa"/>
            <w:noWrap/>
            <w:vAlign w:val="top"/>
          </w:tcPr>
          <w:p w14:paraId="08632F5B">
            <w:pPr>
              <w:widowControl/>
              <w:jc w:val="center"/>
              <w:rPr>
                <w:rFonts w:hint="default" w:eastAsia="宋体"/>
                <w:color w:val="000000"/>
                <w:kern w:val="0"/>
                <w:szCs w:val="21"/>
                <w:lang w:val="en-US" w:eastAsia="zh-CN"/>
              </w:rPr>
            </w:pPr>
            <w:r>
              <w:rPr>
                <w:rFonts w:hint="eastAsia"/>
                <w:color w:val="000000"/>
                <w:kern w:val="0"/>
                <w:szCs w:val="21"/>
                <w:lang w:val="en-US" w:eastAsia="zh-CN"/>
              </w:rPr>
              <w:t>1.66</w:t>
            </w:r>
          </w:p>
        </w:tc>
        <w:tc>
          <w:tcPr>
            <w:tcW w:w="1437" w:type="dxa"/>
            <w:noWrap/>
            <w:vAlign w:val="top"/>
          </w:tcPr>
          <w:p w14:paraId="6425A76B">
            <w:pPr>
              <w:widowControl/>
              <w:jc w:val="center"/>
              <w:rPr>
                <w:rFonts w:hint="default" w:eastAsia="宋体"/>
                <w:color w:val="000000"/>
                <w:kern w:val="0"/>
                <w:szCs w:val="21"/>
                <w:lang w:val="en-US" w:eastAsia="zh-CN"/>
              </w:rPr>
            </w:pPr>
            <w:r>
              <w:rPr>
                <w:rFonts w:hint="eastAsia"/>
                <w:color w:val="000000"/>
                <w:kern w:val="0"/>
                <w:szCs w:val="21"/>
                <w:lang w:val="en-US" w:eastAsia="zh-CN"/>
              </w:rPr>
              <w:t>1.36</w:t>
            </w:r>
          </w:p>
        </w:tc>
        <w:tc>
          <w:tcPr>
            <w:tcW w:w="1438" w:type="dxa"/>
            <w:noWrap/>
            <w:vAlign w:val="top"/>
          </w:tcPr>
          <w:p w14:paraId="52B2B376">
            <w:pPr>
              <w:widowControl/>
              <w:jc w:val="center"/>
              <w:rPr>
                <w:rFonts w:hint="default" w:eastAsia="宋体"/>
                <w:color w:val="000000"/>
                <w:kern w:val="0"/>
                <w:szCs w:val="21"/>
                <w:lang w:val="en-US" w:eastAsia="zh-CN"/>
              </w:rPr>
            </w:pPr>
            <w:r>
              <w:rPr>
                <w:rFonts w:hint="eastAsia"/>
                <w:color w:val="000000"/>
                <w:kern w:val="0"/>
                <w:szCs w:val="21"/>
                <w:lang w:val="en-US" w:eastAsia="zh-CN"/>
              </w:rPr>
              <w:t>1.46</w:t>
            </w:r>
          </w:p>
        </w:tc>
      </w:tr>
      <w:tr w14:paraId="7BE800C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03A6BF56">
            <w:pPr>
              <w:widowControl/>
              <w:jc w:val="center"/>
              <w:rPr>
                <w:rFonts w:hint="default" w:eastAsia="宋体"/>
                <w:color w:val="000000"/>
                <w:kern w:val="0"/>
                <w:szCs w:val="21"/>
                <w:lang w:val="en-US" w:eastAsia="zh-CN"/>
              </w:rPr>
            </w:pPr>
            <w:r>
              <w:rPr>
                <w:rFonts w:hint="eastAsia"/>
                <w:color w:val="000000"/>
                <w:kern w:val="0"/>
                <w:szCs w:val="21"/>
                <w:lang w:val="en-US" w:eastAsia="zh-CN"/>
              </w:rPr>
              <w:t>固定资产周转率</w:t>
            </w:r>
          </w:p>
        </w:tc>
        <w:tc>
          <w:tcPr>
            <w:tcW w:w="1346" w:type="dxa"/>
            <w:noWrap/>
            <w:vAlign w:val="top"/>
          </w:tcPr>
          <w:p w14:paraId="6F55D362">
            <w:pPr>
              <w:widowControl/>
              <w:jc w:val="center"/>
              <w:rPr>
                <w:rFonts w:hint="default" w:eastAsia="宋体"/>
                <w:color w:val="000000"/>
                <w:kern w:val="0"/>
                <w:szCs w:val="21"/>
                <w:lang w:val="en-US" w:eastAsia="zh-CN"/>
              </w:rPr>
            </w:pPr>
            <w:r>
              <w:rPr>
                <w:rFonts w:hint="eastAsia"/>
                <w:color w:val="000000"/>
                <w:kern w:val="0"/>
                <w:szCs w:val="21"/>
                <w:lang w:val="en-US" w:eastAsia="zh-CN"/>
              </w:rPr>
              <w:t>3.92</w:t>
            </w:r>
          </w:p>
        </w:tc>
        <w:tc>
          <w:tcPr>
            <w:tcW w:w="1346" w:type="dxa"/>
            <w:noWrap/>
            <w:vAlign w:val="top"/>
          </w:tcPr>
          <w:p w14:paraId="6D5C7A0C">
            <w:pPr>
              <w:widowControl/>
              <w:jc w:val="center"/>
              <w:rPr>
                <w:rFonts w:hint="default" w:eastAsia="宋体"/>
                <w:color w:val="000000"/>
                <w:kern w:val="0"/>
                <w:szCs w:val="21"/>
                <w:lang w:val="en-US" w:eastAsia="zh-CN"/>
              </w:rPr>
            </w:pPr>
            <w:r>
              <w:rPr>
                <w:rFonts w:hint="eastAsia"/>
                <w:color w:val="000000"/>
                <w:kern w:val="0"/>
                <w:szCs w:val="21"/>
                <w:lang w:val="en-US" w:eastAsia="zh-CN"/>
              </w:rPr>
              <w:t>3.76</w:t>
            </w:r>
          </w:p>
        </w:tc>
        <w:tc>
          <w:tcPr>
            <w:tcW w:w="1437" w:type="dxa"/>
            <w:noWrap/>
            <w:vAlign w:val="top"/>
          </w:tcPr>
          <w:p w14:paraId="02614082">
            <w:pPr>
              <w:widowControl/>
              <w:jc w:val="center"/>
              <w:rPr>
                <w:rFonts w:hint="default" w:eastAsia="宋体"/>
                <w:color w:val="000000"/>
                <w:kern w:val="0"/>
                <w:szCs w:val="21"/>
                <w:lang w:val="en-US" w:eastAsia="zh-CN"/>
              </w:rPr>
            </w:pPr>
            <w:r>
              <w:rPr>
                <w:rFonts w:hint="eastAsia"/>
                <w:color w:val="000000"/>
                <w:kern w:val="0"/>
                <w:szCs w:val="21"/>
                <w:lang w:val="en-US" w:eastAsia="zh-CN"/>
              </w:rPr>
              <w:t>3.9</w:t>
            </w:r>
          </w:p>
        </w:tc>
        <w:tc>
          <w:tcPr>
            <w:tcW w:w="1437" w:type="dxa"/>
            <w:noWrap/>
            <w:vAlign w:val="top"/>
          </w:tcPr>
          <w:p w14:paraId="2265D633">
            <w:pPr>
              <w:widowControl/>
              <w:jc w:val="center"/>
              <w:rPr>
                <w:rFonts w:hint="default" w:eastAsia="宋体"/>
                <w:color w:val="000000"/>
                <w:kern w:val="0"/>
                <w:szCs w:val="21"/>
                <w:lang w:val="en-US" w:eastAsia="zh-CN"/>
              </w:rPr>
            </w:pPr>
            <w:r>
              <w:rPr>
                <w:rFonts w:hint="eastAsia"/>
                <w:color w:val="000000"/>
                <w:kern w:val="0"/>
                <w:szCs w:val="21"/>
                <w:lang w:val="en-US" w:eastAsia="zh-CN"/>
              </w:rPr>
              <w:t>3.79</w:t>
            </w:r>
          </w:p>
        </w:tc>
        <w:tc>
          <w:tcPr>
            <w:tcW w:w="1438" w:type="dxa"/>
            <w:noWrap/>
            <w:vAlign w:val="top"/>
          </w:tcPr>
          <w:p w14:paraId="0FA181A9">
            <w:pPr>
              <w:widowControl/>
              <w:jc w:val="center"/>
              <w:rPr>
                <w:rFonts w:hint="default" w:eastAsia="宋体"/>
                <w:color w:val="000000"/>
                <w:kern w:val="0"/>
                <w:szCs w:val="21"/>
                <w:lang w:val="en-US" w:eastAsia="zh-CN"/>
              </w:rPr>
            </w:pPr>
            <w:r>
              <w:rPr>
                <w:rFonts w:hint="eastAsia"/>
                <w:color w:val="000000"/>
                <w:kern w:val="0"/>
                <w:szCs w:val="21"/>
                <w:lang w:val="en-US" w:eastAsia="zh-CN"/>
              </w:rPr>
              <w:t>3.3</w:t>
            </w:r>
          </w:p>
        </w:tc>
      </w:tr>
      <w:tr w14:paraId="2AD704C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1716" w:type="dxa"/>
            <w:noWrap/>
            <w:vAlign w:val="top"/>
          </w:tcPr>
          <w:p w14:paraId="09F1685D">
            <w:pPr>
              <w:widowControl/>
              <w:jc w:val="center"/>
              <w:rPr>
                <w:rFonts w:hint="default"/>
                <w:color w:val="000000"/>
                <w:kern w:val="0"/>
                <w:szCs w:val="21"/>
                <w:lang w:val="en-US" w:eastAsia="zh-CN"/>
              </w:rPr>
            </w:pPr>
            <w:r>
              <w:rPr>
                <w:rFonts w:hint="eastAsia"/>
                <w:color w:val="000000"/>
                <w:kern w:val="0"/>
                <w:szCs w:val="21"/>
                <w:lang w:val="en-US" w:eastAsia="zh-CN"/>
              </w:rPr>
              <w:t>总资产周转率</w:t>
            </w:r>
          </w:p>
        </w:tc>
        <w:tc>
          <w:tcPr>
            <w:tcW w:w="1346" w:type="dxa"/>
            <w:noWrap/>
            <w:vAlign w:val="top"/>
          </w:tcPr>
          <w:p w14:paraId="1F54DEB6">
            <w:pPr>
              <w:widowControl/>
              <w:jc w:val="center"/>
              <w:rPr>
                <w:rFonts w:hint="default"/>
                <w:color w:val="000000"/>
                <w:kern w:val="0"/>
                <w:szCs w:val="21"/>
                <w:lang w:val="en-US" w:eastAsia="zh-CN"/>
              </w:rPr>
            </w:pPr>
            <w:r>
              <w:rPr>
                <w:rFonts w:hint="eastAsia"/>
                <w:color w:val="000000"/>
                <w:kern w:val="0"/>
                <w:szCs w:val="21"/>
                <w:lang w:val="en-US" w:eastAsia="zh-CN"/>
              </w:rPr>
              <w:t>1.09</w:t>
            </w:r>
          </w:p>
        </w:tc>
        <w:tc>
          <w:tcPr>
            <w:tcW w:w="1346" w:type="dxa"/>
            <w:noWrap/>
            <w:vAlign w:val="top"/>
          </w:tcPr>
          <w:p w14:paraId="143EAF67">
            <w:pPr>
              <w:widowControl/>
              <w:jc w:val="center"/>
              <w:rPr>
                <w:rFonts w:hint="default"/>
                <w:color w:val="000000"/>
                <w:kern w:val="0"/>
                <w:szCs w:val="21"/>
                <w:lang w:val="en-US" w:eastAsia="zh-CN"/>
              </w:rPr>
            </w:pPr>
            <w:r>
              <w:rPr>
                <w:rFonts w:hint="eastAsia"/>
                <w:color w:val="000000"/>
                <w:kern w:val="0"/>
                <w:szCs w:val="21"/>
                <w:lang w:val="en-US" w:eastAsia="zh-CN"/>
              </w:rPr>
              <w:t>1.17</w:t>
            </w:r>
          </w:p>
        </w:tc>
        <w:tc>
          <w:tcPr>
            <w:tcW w:w="1437" w:type="dxa"/>
            <w:noWrap/>
            <w:vAlign w:val="top"/>
          </w:tcPr>
          <w:p w14:paraId="1FAED4BC">
            <w:pPr>
              <w:widowControl/>
              <w:jc w:val="center"/>
              <w:rPr>
                <w:rFonts w:hint="default"/>
                <w:color w:val="000000"/>
                <w:kern w:val="0"/>
                <w:szCs w:val="21"/>
                <w:lang w:val="en-US" w:eastAsia="zh-CN"/>
              </w:rPr>
            </w:pPr>
            <w:r>
              <w:rPr>
                <w:rFonts w:hint="eastAsia"/>
                <w:color w:val="000000"/>
                <w:kern w:val="0"/>
                <w:szCs w:val="21"/>
                <w:lang w:val="en-US" w:eastAsia="zh-CN"/>
              </w:rPr>
              <w:t>0.98</w:t>
            </w:r>
          </w:p>
        </w:tc>
        <w:tc>
          <w:tcPr>
            <w:tcW w:w="1437" w:type="dxa"/>
            <w:noWrap/>
            <w:vAlign w:val="top"/>
          </w:tcPr>
          <w:p w14:paraId="03F246ED">
            <w:pPr>
              <w:widowControl/>
              <w:jc w:val="center"/>
              <w:rPr>
                <w:rFonts w:hint="default"/>
                <w:color w:val="000000"/>
                <w:kern w:val="0"/>
                <w:szCs w:val="21"/>
                <w:lang w:val="en-US" w:eastAsia="zh-CN"/>
              </w:rPr>
            </w:pPr>
            <w:r>
              <w:rPr>
                <w:rFonts w:hint="eastAsia"/>
                <w:color w:val="000000"/>
                <w:kern w:val="0"/>
                <w:szCs w:val="21"/>
                <w:lang w:val="en-US" w:eastAsia="zh-CN"/>
              </w:rPr>
              <w:t>0.84</w:t>
            </w:r>
          </w:p>
        </w:tc>
        <w:tc>
          <w:tcPr>
            <w:tcW w:w="1438" w:type="dxa"/>
            <w:noWrap/>
            <w:vAlign w:val="top"/>
          </w:tcPr>
          <w:p w14:paraId="314782E8">
            <w:pPr>
              <w:widowControl/>
              <w:jc w:val="center"/>
              <w:rPr>
                <w:rFonts w:hint="default"/>
                <w:color w:val="000000"/>
                <w:kern w:val="0"/>
                <w:szCs w:val="21"/>
                <w:lang w:val="en-US" w:eastAsia="zh-CN"/>
              </w:rPr>
            </w:pPr>
            <w:r>
              <w:rPr>
                <w:rFonts w:hint="eastAsia"/>
                <w:color w:val="000000"/>
                <w:kern w:val="0"/>
                <w:szCs w:val="21"/>
                <w:lang w:val="en-US" w:eastAsia="zh-CN"/>
              </w:rPr>
              <w:t>0.87</w:t>
            </w:r>
          </w:p>
        </w:tc>
      </w:tr>
    </w:tbl>
    <w:p w14:paraId="0B50FA45">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cs="宋体"/>
          <w:bCs/>
          <w:sz w:val="24"/>
          <w:szCs w:val="24"/>
          <w:lang w:val="en-US" w:eastAsia="zh-CN"/>
        </w:rPr>
      </w:pPr>
      <w:r>
        <w:rPr>
          <w:rFonts w:hint="eastAsia" w:ascii="宋体" w:hAnsi="宋体" w:cs="宋体"/>
          <w:bCs/>
          <w:sz w:val="24"/>
          <w:szCs w:val="24"/>
          <w:lang w:val="en-US" w:eastAsia="zh-CN"/>
        </w:rPr>
        <w:t>4.3.1</w:t>
      </w:r>
      <w:r>
        <w:rPr>
          <w:rFonts w:hint="eastAsia" w:ascii="宋体" w:hAnsi="宋体"/>
          <w:sz w:val="24"/>
          <w:szCs w:val="24"/>
          <w:lang w:val="en-US" w:eastAsia="zh-CN"/>
        </w:rPr>
        <w:t>应收账款周转率先下降后提升</w:t>
      </w:r>
    </w:p>
    <w:p w14:paraId="779B3773">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rFonts w:hint="eastAsia" w:ascii="宋体" w:hAnsi="宋体" w:cs="宋体"/>
          <w:bCs/>
          <w:sz w:val="24"/>
          <w:szCs w:val="24"/>
          <w:lang w:val="en-US" w:eastAsia="zh-CN"/>
        </w:rPr>
        <w:t>4.3.2</w:t>
      </w:r>
      <w:r>
        <w:rPr>
          <w:rFonts w:hint="eastAsia" w:ascii="宋体" w:hAnsi="宋体"/>
          <w:sz w:val="24"/>
          <w:szCs w:val="24"/>
          <w:lang w:val="en-US" w:eastAsia="zh-CN"/>
        </w:rPr>
        <w:t>存货周转率水平较低，存货管理存在问题。</w:t>
      </w:r>
    </w:p>
    <w:p w14:paraId="26ABFC74">
      <w:pPr>
        <w:widowControl/>
        <w:tabs>
          <w:tab w:val="center" w:pos="4139"/>
          <w:tab w:val="left" w:pos="7545"/>
          <w:tab w:val="right" w:leader="middleDot" w:pos="7740"/>
        </w:tabs>
        <w:spacing w:before="312" w:beforeLines="100" w:after="156" w:afterLines="50"/>
        <w:ind w:firstLine="480" w:firstLineChars="200"/>
        <w:outlineLvl w:val="2"/>
        <w:rPr>
          <w:rFonts w:hint="default" w:ascii="宋体" w:hAnsi="宋体"/>
          <w:sz w:val="24"/>
          <w:szCs w:val="24"/>
          <w:lang w:val="en-US" w:eastAsia="zh-CN"/>
        </w:rPr>
      </w:pPr>
      <w:r>
        <w:rPr>
          <w:rFonts w:hint="eastAsia" w:ascii="宋体" w:hAnsi="宋体"/>
          <w:sz w:val="24"/>
          <w:szCs w:val="24"/>
          <w:lang w:val="en-US" w:eastAsia="zh-CN"/>
        </w:rPr>
        <w:t>4.3.3资产周转率整体呈现下降趋势</w:t>
      </w:r>
    </w:p>
    <w:p w14:paraId="277C0818">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57" w:name="_Toc31110"/>
      <w:bookmarkStart w:id="58" w:name="_Toc20063"/>
      <w:r>
        <w:rPr>
          <w:rFonts w:ascii="黑体" w:hAnsi="Times New Roman" w:eastAsia="黑体"/>
          <w:b/>
          <w:bCs/>
          <w:sz w:val="24"/>
          <w:szCs w:val="24"/>
        </w:rPr>
        <w:t>4.</w:t>
      </w:r>
      <w:r>
        <w:rPr>
          <w:rFonts w:hint="eastAsia" w:ascii="黑体" w:hAnsi="Times New Roman" w:eastAsia="黑体"/>
          <w:b/>
          <w:bCs/>
          <w:sz w:val="24"/>
          <w:szCs w:val="24"/>
          <w:lang w:val="en-US" w:eastAsia="zh-CN"/>
        </w:rPr>
        <w:t>4</w:t>
      </w:r>
      <w:r>
        <w:rPr>
          <w:rFonts w:ascii="黑体" w:hAnsi="Times New Roman" w:eastAsia="黑体"/>
          <w:b/>
          <w:bCs/>
          <w:sz w:val="24"/>
          <w:szCs w:val="24"/>
        </w:rPr>
        <w:t xml:space="preserve"> </w:t>
      </w:r>
      <w:r>
        <w:rPr>
          <w:rFonts w:hint="eastAsia" w:ascii="黑体" w:hAnsi="Times New Roman" w:eastAsia="黑体"/>
          <w:b/>
          <w:bCs/>
          <w:sz w:val="24"/>
          <w:szCs w:val="24"/>
          <w:lang w:val="en-US" w:eastAsia="zh-CN"/>
        </w:rPr>
        <w:t>发展能力分析</w:t>
      </w:r>
    </w:p>
    <w:p w14:paraId="1508CA7D">
      <w:pPr>
        <w:keepNext w:val="0"/>
        <w:keepLines w:val="0"/>
        <w:widowControl/>
        <w:suppressLineNumbers w:val="0"/>
        <w:ind w:firstLine="480" w:firstLineChars="200"/>
        <w:jc w:val="left"/>
        <w:rPr>
          <w:rFonts w:hint="eastAsia" w:ascii="黑体" w:hAnsi="Times New Roman" w:eastAsia="黑体"/>
          <w:b/>
          <w:bCs/>
          <w:sz w:val="24"/>
          <w:szCs w:val="24"/>
          <w:lang w:val="en-US" w:eastAsia="zh-CN"/>
        </w:rPr>
      </w:pPr>
      <w:r>
        <w:rPr>
          <w:rFonts w:hint="default" w:ascii="宋体" w:hAnsi="宋体" w:cs="Times New Roman"/>
          <w:sz w:val="24"/>
          <w:szCs w:val="24"/>
          <w:lang w:val="en-US" w:eastAsia="zh-CN"/>
        </w:rPr>
        <w:t>发展能力，也称为增长能力，是衡量企业在持续经营过程中不断扩张规模、提升价值并实现未来增长的潜力与态势。它超越了静态的财务健康度与盈利能力，着眼于动态的、面向未来的成长性。分析发展能力并非单一维度的判断，而是通过一组体现增长趋势的财务比率进行综合透视：营业收入增长率是衡量市场扩张与业务生命力的首要指标，反映了企业获取市场份额和客户的能力；净利润增长率揭示了盈利的成长质量，是收入增长能否有效转化为实际利润的关键</w:t>
      </w:r>
      <w:r>
        <w:rPr>
          <w:rFonts w:hint="eastAsia" w:ascii="宋体" w:hAnsi="宋体" w:cs="Times New Roman"/>
          <w:sz w:val="24"/>
          <w:szCs w:val="24"/>
          <w:lang w:val="en-US" w:eastAsia="zh-CN"/>
        </w:rPr>
        <w:t>。</w:t>
      </w:r>
      <w:r>
        <w:rPr>
          <w:rFonts w:hint="default" w:ascii="宋体" w:hAnsi="宋体" w:cs="Times New Roman"/>
          <w:sz w:val="24"/>
          <w:szCs w:val="24"/>
          <w:lang w:val="en-US" w:eastAsia="zh-CN"/>
        </w:rPr>
        <w:t>它揭示了企业是否拥有在竞争中进化、在周期中穿越、并最终实现基业长青的内在动能，是评估其长期前景与生命力的决定性维度。</w:t>
      </w:r>
    </w:p>
    <w:p w14:paraId="6D07F18B">
      <w:pPr>
        <w:pStyle w:val="4"/>
        <w:jc w:val="center"/>
        <w:rPr>
          <w:rFonts w:ascii="Times New Roman" w:hAnsi="Times New Roman"/>
        </w:rPr>
      </w:pPr>
      <w:r>
        <w:rPr>
          <w:rFonts w:ascii="Times New Roman" w:hAnsi="Times New Roman"/>
        </w:rPr>
        <w:t xml:space="preserve">表 </w:t>
      </w:r>
      <w:r>
        <w:rPr>
          <w:rFonts w:ascii="Times New Roman" w:hAnsi="Times New Roman"/>
        </w:rPr>
        <w:fldChar w:fldCharType="begin"/>
      </w:r>
      <w:r>
        <w:rPr>
          <w:rFonts w:ascii="Times New Roman" w:hAnsi="Times New Roman"/>
        </w:rPr>
        <w:instrText xml:space="preserve"> STYLEREF 1 \s </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r>
        <w:rPr>
          <w:rFonts w:ascii="Times New Roman" w:hAnsi="Times New Roman"/>
        </w:rPr>
        <w:noBreakHyphen/>
      </w:r>
      <w:r>
        <w:rPr>
          <w:rFonts w:ascii="Times New Roman" w:hAnsi="Times New Roman"/>
        </w:rPr>
        <w:fldChar w:fldCharType="begin"/>
      </w:r>
      <w:r>
        <w:rPr>
          <w:rFonts w:ascii="Times New Roman" w:hAnsi="Times New Roman"/>
        </w:rPr>
        <w:instrText xml:space="preserve"> SEQ 表 \* ARABIC \s 1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t xml:space="preserve">  </w:t>
      </w:r>
      <w:r>
        <w:rPr>
          <w:rFonts w:hint="eastAsia" w:ascii="Times New Roman" w:hAnsi="Times New Roman"/>
          <w:lang w:val="en-US" w:eastAsia="zh-CN"/>
        </w:rPr>
        <w:t>发展</w:t>
      </w:r>
      <w:r>
        <w:rPr>
          <w:rFonts w:ascii="Times New Roman" w:hAnsi="Times New Roman"/>
        </w:rPr>
        <w:t>能力指标</w:t>
      </w:r>
    </w:p>
    <w:tbl>
      <w:tblPr>
        <w:tblStyle w:val="12"/>
        <w:tblW w:w="8389" w:type="dxa"/>
        <w:jc w:val="center"/>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2154"/>
        <w:gridCol w:w="1247"/>
        <w:gridCol w:w="1247"/>
        <w:gridCol w:w="1326"/>
        <w:gridCol w:w="1326"/>
        <w:gridCol w:w="1326"/>
      </w:tblGrid>
      <w:tr w14:paraId="3BD69513">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2A7EB83E">
            <w:pPr>
              <w:widowControl/>
              <w:jc w:val="center"/>
              <w:rPr>
                <w:color w:val="000000"/>
                <w:kern w:val="0"/>
                <w:szCs w:val="21"/>
              </w:rPr>
            </w:pPr>
            <w:r>
              <w:rPr>
                <w:color w:val="000000"/>
                <w:kern w:val="0"/>
                <w:szCs w:val="21"/>
              </w:rPr>
              <w:t>科目\时间</w:t>
            </w:r>
          </w:p>
        </w:tc>
        <w:tc>
          <w:tcPr>
            <w:tcW w:w="1247" w:type="dxa"/>
            <w:noWrap/>
            <w:vAlign w:val="top"/>
          </w:tcPr>
          <w:p w14:paraId="696C3C7D">
            <w:pPr>
              <w:widowControl/>
              <w:jc w:val="center"/>
              <w:rPr>
                <w:color w:val="000000"/>
                <w:kern w:val="0"/>
                <w:szCs w:val="21"/>
              </w:rPr>
            </w:pPr>
            <w:r>
              <w:rPr>
                <w:color w:val="000000"/>
                <w:kern w:val="0"/>
                <w:szCs w:val="21"/>
              </w:rPr>
              <w:t>20</w:t>
            </w:r>
            <w:r>
              <w:rPr>
                <w:rFonts w:hint="eastAsia"/>
                <w:color w:val="000000"/>
                <w:kern w:val="0"/>
                <w:szCs w:val="21"/>
                <w:lang w:val="en-US" w:eastAsia="zh-CN"/>
              </w:rPr>
              <w:t>20</w:t>
            </w:r>
            <w:r>
              <w:rPr>
                <w:color w:val="000000"/>
                <w:kern w:val="0"/>
                <w:szCs w:val="21"/>
              </w:rPr>
              <w:t>年</w:t>
            </w:r>
          </w:p>
        </w:tc>
        <w:tc>
          <w:tcPr>
            <w:tcW w:w="1247" w:type="dxa"/>
            <w:noWrap/>
            <w:vAlign w:val="top"/>
          </w:tcPr>
          <w:p w14:paraId="7652AACB">
            <w:pPr>
              <w:widowControl/>
              <w:jc w:val="center"/>
              <w:rPr>
                <w:color w:val="000000"/>
                <w:kern w:val="0"/>
                <w:szCs w:val="21"/>
              </w:rPr>
            </w:pPr>
            <w:r>
              <w:rPr>
                <w:color w:val="000000"/>
                <w:kern w:val="0"/>
                <w:szCs w:val="21"/>
              </w:rPr>
              <w:t>202</w:t>
            </w:r>
            <w:r>
              <w:rPr>
                <w:rFonts w:hint="eastAsia"/>
                <w:color w:val="000000"/>
                <w:kern w:val="0"/>
                <w:szCs w:val="21"/>
                <w:lang w:val="en-US" w:eastAsia="zh-CN"/>
              </w:rPr>
              <w:t>1</w:t>
            </w:r>
            <w:r>
              <w:rPr>
                <w:color w:val="000000"/>
                <w:kern w:val="0"/>
                <w:szCs w:val="21"/>
              </w:rPr>
              <w:t>年</w:t>
            </w:r>
          </w:p>
        </w:tc>
        <w:tc>
          <w:tcPr>
            <w:tcW w:w="1247" w:type="dxa"/>
            <w:noWrap/>
            <w:vAlign w:val="top"/>
          </w:tcPr>
          <w:p w14:paraId="4A7E004D">
            <w:pPr>
              <w:widowControl/>
              <w:jc w:val="center"/>
              <w:rPr>
                <w:color w:val="000000"/>
                <w:kern w:val="0"/>
                <w:szCs w:val="21"/>
              </w:rPr>
            </w:pPr>
            <w:r>
              <w:rPr>
                <w:color w:val="000000"/>
                <w:kern w:val="0"/>
                <w:szCs w:val="21"/>
              </w:rPr>
              <w:t>202</w:t>
            </w:r>
            <w:r>
              <w:rPr>
                <w:rFonts w:hint="eastAsia"/>
                <w:color w:val="000000"/>
                <w:kern w:val="0"/>
                <w:szCs w:val="21"/>
                <w:lang w:val="en-US" w:eastAsia="zh-CN"/>
              </w:rPr>
              <w:t>2</w:t>
            </w:r>
            <w:r>
              <w:rPr>
                <w:color w:val="000000"/>
                <w:kern w:val="0"/>
                <w:szCs w:val="21"/>
              </w:rPr>
              <w:t>年</w:t>
            </w:r>
          </w:p>
        </w:tc>
        <w:tc>
          <w:tcPr>
            <w:tcW w:w="1247" w:type="dxa"/>
            <w:noWrap/>
            <w:vAlign w:val="top"/>
          </w:tcPr>
          <w:p w14:paraId="197BCD76">
            <w:pPr>
              <w:widowControl/>
              <w:jc w:val="center"/>
              <w:rPr>
                <w:color w:val="000000"/>
                <w:kern w:val="0"/>
                <w:szCs w:val="21"/>
              </w:rPr>
            </w:pPr>
            <w:r>
              <w:rPr>
                <w:color w:val="000000"/>
                <w:kern w:val="0"/>
                <w:szCs w:val="21"/>
              </w:rPr>
              <w:t>202</w:t>
            </w:r>
            <w:r>
              <w:rPr>
                <w:rFonts w:hint="eastAsia"/>
                <w:color w:val="000000"/>
                <w:kern w:val="0"/>
                <w:szCs w:val="21"/>
                <w:lang w:val="en-US" w:eastAsia="zh-CN"/>
              </w:rPr>
              <w:t>3</w:t>
            </w:r>
            <w:r>
              <w:rPr>
                <w:color w:val="000000"/>
                <w:kern w:val="0"/>
                <w:szCs w:val="21"/>
              </w:rPr>
              <w:t>年</w:t>
            </w:r>
          </w:p>
        </w:tc>
        <w:tc>
          <w:tcPr>
            <w:tcW w:w="1247" w:type="dxa"/>
            <w:noWrap/>
            <w:vAlign w:val="top"/>
          </w:tcPr>
          <w:p w14:paraId="391AC101">
            <w:pPr>
              <w:widowControl/>
              <w:jc w:val="center"/>
              <w:rPr>
                <w:color w:val="000000"/>
                <w:kern w:val="0"/>
                <w:szCs w:val="21"/>
              </w:rPr>
            </w:pPr>
            <w:r>
              <w:rPr>
                <w:color w:val="000000"/>
                <w:kern w:val="0"/>
                <w:szCs w:val="21"/>
              </w:rPr>
              <w:t>202</w:t>
            </w:r>
            <w:r>
              <w:rPr>
                <w:rFonts w:hint="eastAsia"/>
                <w:color w:val="000000"/>
                <w:kern w:val="0"/>
                <w:szCs w:val="21"/>
                <w:lang w:val="en-US" w:eastAsia="zh-CN"/>
              </w:rPr>
              <w:t>4</w:t>
            </w:r>
            <w:r>
              <w:rPr>
                <w:color w:val="000000"/>
                <w:kern w:val="0"/>
                <w:szCs w:val="21"/>
              </w:rPr>
              <w:t>年</w:t>
            </w:r>
          </w:p>
        </w:tc>
      </w:tr>
      <w:tr w14:paraId="194B6DC3">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0EF54D44">
            <w:pPr>
              <w:widowControl/>
              <w:jc w:val="center"/>
              <w:rPr>
                <w:rFonts w:hint="default" w:eastAsia="宋体"/>
                <w:color w:val="000000"/>
                <w:kern w:val="0"/>
                <w:szCs w:val="21"/>
                <w:lang w:val="en-US" w:eastAsia="zh-CN"/>
              </w:rPr>
            </w:pPr>
            <w:r>
              <w:rPr>
                <w:rFonts w:hint="eastAsia"/>
                <w:color w:val="000000"/>
                <w:kern w:val="0"/>
                <w:szCs w:val="21"/>
                <w:lang w:val="en-US" w:eastAsia="zh-CN"/>
              </w:rPr>
              <w:t>营业收入（万元）</w:t>
            </w:r>
          </w:p>
        </w:tc>
        <w:tc>
          <w:tcPr>
            <w:tcW w:w="1247" w:type="dxa"/>
            <w:noWrap/>
            <w:vAlign w:val="top"/>
          </w:tcPr>
          <w:p w14:paraId="21DE3265">
            <w:pPr>
              <w:widowControl/>
              <w:jc w:val="center"/>
              <w:rPr>
                <w:color w:val="000000"/>
                <w:kern w:val="0"/>
                <w:szCs w:val="21"/>
              </w:rPr>
            </w:pPr>
            <w:r>
              <w:rPr>
                <w:rFonts w:hint="eastAsia"/>
                <w:color w:val="000000"/>
                <w:kern w:val="0"/>
                <w:sz w:val="21"/>
                <w:szCs w:val="21"/>
              </w:rPr>
              <w:t>696511</w:t>
            </w:r>
            <w:r>
              <w:rPr>
                <w:rFonts w:hint="eastAsia"/>
                <w:color w:val="000000"/>
                <w:kern w:val="0"/>
                <w:sz w:val="21"/>
                <w:szCs w:val="21"/>
                <w:lang w:eastAsia="zh-CN"/>
              </w:rPr>
              <w:t>.</w:t>
            </w:r>
            <w:r>
              <w:rPr>
                <w:rFonts w:hint="eastAsia"/>
                <w:color w:val="000000"/>
                <w:kern w:val="0"/>
                <w:sz w:val="21"/>
                <w:szCs w:val="21"/>
                <w:lang w:val="en-US" w:eastAsia="zh-CN"/>
              </w:rPr>
              <w:t>50</w:t>
            </w:r>
          </w:p>
        </w:tc>
        <w:tc>
          <w:tcPr>
            <w:tcW w:w="1247" w:type="dxa"/>
            <w:noWrap/>
            <w:vAlign w:val="top"/>
          </w:tcPr>
          <w:p w14:paraId="63A07C93">
            <w:pPr>
              <w:widowControl/>
              <w:jc w:val="center"/>
              <w:rPr>
                <w:rFonts w:hint="default" w:eastAsia="宋体"/>
                <w:color w:val="000000"/>
                <w:kern w:val="0"/>
                <w:szCs w:val="21"/>
                <w:lang w:val="en-US" w:eastAsia="zh-CN"/>
              </w:rPr>
            </w:pPr>
            <w:r>
              <w:rPr>
                <w:rFonts w:hint="eastAsia"/>
                <w:color w:val="000000"/>
                <w:kern w:val="0"/>
                <w:sz w:val="21"/>
                <w:szCs w:val="21"/>
                <w:lang w:val="en-US" w:eastAsia="zh-CN"/>
              </w:rPr>
              <w:t>927220.17</w:t>
            </w:r>
          </w:p>
        </w:tc>
        <w:tc>
          <w:tcPr>
            <w:tcW w:w="1247" w:type="dxa"/>
            <w:noWrap/>
            <w:vAlign w:val="top"/>
          </w:tcPr>
          <w:p w14:paraId="02655D05">
            <w:pPr>
              <w:widowControl/>
              <w:jc w:val="center"/>
              <w:rPr>
                <w:rFonts w:hint="default" w:eastAsia="宋体"/>
                <w:color w:val="000000"/>
                <w:kern w:val="0"/>
                <w:szCs w:val="21"/>
                <w:lang w:val="en-US" w:eastAsia="zh-CN"/>
              </w:rPr>
            </w:pPr>
            <w:r>
              <w:rPr>
                <w:rFonts w:hint="eastAsia"/>
                <w:color w:val="000000"/>
                <w:kern w:val="0"/>
                <w:sz w:val="21"/>
                <w:szCs w:val="21"/>
                <w:lang w:val="en-US" w:eastAsia="zh-CN"/>
              </w:rPr>
              <w:t>1218266.31</w:t>
            </w:r>
          </w:p>
        </w:tc>
        <w:tc>
          <w:tcPr>
            <w:tcW w:w="1247" w:type="dxa"/>
            <w:noWrap/>
            <w:vAlign w:val="top"/>
          </w:tcPr>
          <w:p w14:paraId="0E2CC6B4">
            <w:pPr>
              <w:widowControl/>
              <w:jc w:val="center"/>
              <w:rPr>
                <w:rFonts w:hint="default" w:eastAsia="宋体"/>
                <w:color w:val="000000"/>
                <w:kern w:val="0"/>
                <w:szCs w:val="21"/>
                <w:lang w:val="en-US" w:eastAsia="zh-CN"/>
              </w:rPr>
            </w:pPr>
            <w:r>
              <w:rPr>
                <w:rFonts w:hint="eastAsia"/>
                <w:color w:val="000000"/>
                <w:kern w:val="0"/>
                <w:sz w:val="21"/>
                <w:szCs w:val="21"/>
                <w:lang w:val="en-US" w:eastAsia="zh-CN"/>
              </w:rPr>
              <w:t>1404523.48</w:t>
            </w:r>
          </w:p>
        </w:tc>
        <w:tc>
          <w:tcPr>
            <w:tcW w:w="1247" w:type="dxa"/>
            <w:noWrap/>
            <w:vAlign w:val="top"/>
          </w:tcPr>
          <w:p w14:paraId="76DEE665">
            <w:pPr>
              <w:widowControl/>
              <w:jc w:val="center"/>
              <w:rPr>
                <w:rFonts w:hint="default" w:eastAsia="宋体"/>
                <w:color w:val="000000"/>
                <w:kern w:val="0"/>
                <w:szCs w:val="21"/>
                <w:lang w:val="en-US" w:eastAsia="zh-CN"/>
              </w:rPr>
            </w:pPr>
            <w:r>
              <w:rPr>
                <w:rFonts w:hint="eastAsia"/>
                <w:color w:val="000000"/>
                <w:kern w:val="0"/>
                <w:sz w:val="21"/>
                <w:szCs w:val="21"/>
                <w:lang w:val="en-US" w:eastAsia="zh-CN"/>
              </w:rPr>
              <w:t>1512665.17</w:t>
            </w:r>
          </w:p>
        </w:tc>
      </w:tr>
      <w:tr w14:paraId="39DCB1BF">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77224845">
            <w:pPr>
              <w:widowControl/>
              <w:jc w:val="center"/>
              <w:rPr>
                <w:rFonts w:hint="default" w:eastAsia="宋体"/>
                <w:color w:val="000000"/>
                <w:kern w:val="0"/>
                <w:szCs w:val="21"/>
                <w:lang w:val="en-US" w:eastAsia="zh-CN"/>
              </w:rPr>
            </w:pPr>
            <w:r>
              <w:rPr>
                <w:rFonts w:hint="eastAsia"/>
                <w:color w:val="000000"/>
                <w:kern w:val="0"/>
                <w:szCs w:val="21"/>
                <w:lang w:val="en-US" w:eastAsia="zh-CN"/>
              </w:rPr>
              <w:t>营业收入增长率</w:t>
            </w:r>
          </w:p>
        </w:tc>
        <w:tc>
          <w:tcPr>
            <w:tcW w:w="1247" w:type="dxa"/>
            <w:noWrap/>
            <w:vAlign w:val="top"/>
          </w:tcPr>
          <w:p w14:paraId="4257BB62">
            <w:pPr>
              <w:widowControl/>
              <w:tabs>
                <w:tab w:val="left" w:pos="505"/>
              </w:tabs>
              <w:jc w:val="center"/>
              <w:rPr>
                <w:rFonts w:hint="default" w:eastAsia="宋体"/>
                <w:color w:val="000000"/>
                <w:kern w:val="0"/>
                <w:szCs w:val="21"/>
                <w:lang w:val="en-US" w:eastAsia="zh-CN"/>
              </w:rPr>
            </w:pPr>
            <w:r>
              <w:rPr>
                <w:rFonts w:hint="eastAsia"/>
                <w:color w:val="000000"/>
                <w:kern w:val="0"/>
                <w:szCs w:val="21"/>
                <w:lang w:val="en-US" w:eastAsia="zh-CN"/>
              </w:rPr>
              <w:t>32.25%</w:t>
            </w:r>
          </w:p>
        </w:tc>
        <w:tc>
          <w:tcPr>
            <w:tcW w:w="1247" w:type="dxa"/>
            <w:noWrap/>
            <w:vAlign w:val="top"/>
          </w:tcPr>
          <w:p w14:paraId="24A7DCF6">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33.12%</w:t>
            </w:r>
          </w:p>
        </w:tc>
        <w:tc>
          <w:tcPr>
            <w:tcW w:w="1247" w:type="dxa"/>
            <w:noWrap/>
            <w:vAlign w:val="top"/>
          </w:tcPr>
          <w:p w14:paraId="6F8E076D">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31.39%</w:t>
            </w:r>
          </w:p>
        </w:tc>
        <w:tc>
          <w:tcPr>
            <w:tcW w:w="1247" w:type="dxa"/>
            <w:noWrap/>
            <w:vAlign w:val="top"/>
          </w:tcPr>
          <w:p w14:paraId="0573B45C">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15.29%</w:t>
            </w:r>
          </w:p>
        </w:tc>
        <w:tc>
          <w:tcPr>
            <w:tcW w:w="1247" w:type="dxa"/>
            <w:noWrap/>
            <w:vAlign w:val="top"/>
          </w:tcPr>
          <w:p w14:paraId="6C9A2318">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7.70%</w:t>
            </w:r>
          </w:p>
        </w:tc>
      </w:tr>
      <w:tr w14:paraId="497F118A">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6688880E">
            <w:pPr>
              <w:widowControl/>
              <w:jc w:val="center"/>
              <w:rPr>
                <w:rFonts w:hint="default"/>
                <w:color w:val="000000"/>
                <w:kern w:val="0"/>
                <w:szCs w:val="21"/>
                <w:lang w:val="en-US"/>
              </w:rPr>
            </w:pPr>
            <w:r>
              <w:rPr>
                <w:rFonts w:hint="eastAsia"/>
                <w:color w:val="000000"/>
                <w:kern w:val="0"/>
                <w:szCs w:val="21"/>
                <w:lang w:val="en-US" w:eastAsia="zh-CN"/>
              </w:rPr>
              <w:t>营业利润率</w:t>
            </w:r>
          </w:p>
        </w:tc>
        <w:tc>
          <w:tcPr>
            <w:tcW w:w="1247" w:type="dxa"/>
            <w:noWrap/>
            <w:vAlign w:val="top"/>
          </w:tcPr>
          <w:p w14:paraId="69E7A823">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11.12%</w:t>
            </w:r>
          </w:p>
        </w:tc>
        <w:tc>
          <w:tcPr>
            <w:tcW w:w="1247" w:type="dxa"/>
            <w:noWrap/>
            <w:vAlign w:val="top"/>
          </w:tcPr>
          <w:p w14:paraId="5B076835">
            <w:pPr>
              <w:widowControl/>
              <w:jc w:val="center"/>
              <w:rPr>
                <w:color w:val="000000"/>
                <w:kern w:val="0"/>
                <w:szCs w:val="21"/>
              </w:rPr>
            </w:pPr>
            <w:r>
              <w:rPr>
                <w:rFonts w:hint="eastAsia"/>
                <w:color w:val="000000"/>
                <w:kern w:val="0"/>
                <w:szCs w:val="21"/>
              </w:rPr>
              <w:t>9.28%</w:t>
            </w:r>
          </w:p>
        </w:tc>
        <w:tc>
          <w:tcPr>
            <w:tcW w:w="1247" w:type="dxa"/>
            <w:noWrap/>
            <w:vAlign w:val="top"/>
          </w:tcPr>
          <w:p w14:paraId="7715BC03">
            <w:pPr>
              <w:widowControl/>
              <w:jc w:val="center"/>
              <w:rPr>
                <w:color w:val="000000"/>
                <w:kern w:val="0"/>
                <w:szCs w:val="21"/>
              </w:rPr>
            </w:pPr>
            <w:r>
              <w:rPr>
                <w:rFonts w:hint="eastAsia"/>
                <w:color w:val="000000"/>
                <w:kern w:val="0"/>
                <w:szCs w:val="21"/>
              </w:rPr>
              <w:t>11.00%</w:t>
            </w:r>
          </w:p>
        </w:tc>
        <w:tc>
          <w:tcPr>
            <w:tcW w:w="1247" w:type="dxa"/>
            <w:noWrap/>
            <w:vAlign w:val="top"/>
          </w:tcPr>
          <w:p w14:paraId="363917A2">
            <w:pPr>
              <w:widowControl/>
              <w:jc w:val="center"/>
              <w:rPr>
                <w:color w:val="000000"/>
                <w:kern w:val="0"/>
                <w:szCs w:val="21"/>
              </w:rPr>
            </w:pPr>
            <w:r>
              <w:rPr>
                <w:rFonts w:hint="eastAsia"/>
                <w:color w:val="000000"/>
                <w:kern w:val="0"/>
                <w:szCs w:val="21"/>
              </w:rPr>
              <w:t>13.29%</w:t>
            </w:r>
          </w:p>
        </w:tc>
        <w:tc>
          <w:tcPr>
            <w:tcW w:w="1247" w:type="dxa"/>
            <w:noWrap/>
            <w:vAlign w:val="top"/>
          </w:tcPr>
          <w:p w14:paraId="506CFFFD">
            <w:pPr>
              <w:widowControl/>
              <w:jc w:val="center"/>
              <w:rPr>
                <w:color w:val="000000"/>
                <w:kern w:val="0"/>
                <w:szCs w:val="21"/>
              </w:rPr>
            </w:pPr>
            <w:r>
              <w:rPr>
                <w:rFonts w:hint="eastAsia"/>
                <w:color w:val="000000"/>
                <w:kern w:val="0"/>
                <w:szCs w:val="21"/>
              </w:rPr>
              <w:t>12.92%</w:t>
            </w:r>
          </w:p>
        </w:tc>
      </w:tr>
      <w:tr w14:paraId="117DC78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6A578D47">
            <w:pPr>
              <w:widowControl/>
              <w:jc w:val="center"/>
              <w:rPr>
                <w:rFonts w:hint="eastAsia" w:eastAsia="宋体"/>
                <w:color w:val="000000"/>
                <w:kern w:val="0"/>
                <w:szCs w:val="21"/>
                <w:lang w:eastAsia="zh-CN"/>
              </w:rPr>
            </w:pPr>
            <w:r>
              <w:rPr>
                <w:rFonts w:hint="eastAsia"/>
                <w:color w:val="000000"/>
                <w:kern w:val="0"/>
                <w:szCs w:val="21"/>
                <w:lang w:val="en-US" w:eastAsia="zh-CN"/>
              </w:rPr>
              <w:t>净利润率</w:t>
            </w:r>
          </w:p>
        </w:tc>
        <w:tc>
          <w:tcPr>
            <w:tcW w:w="1247" w:type="dxa"/>
            <w:noWrap/>
            <w:vAlign w:val="top"/>
          </w:tcPr>
          <w:p w14:paraId="50BFE052">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8.67%</w:t>
            </w:r>
          </w:p>
        </w:tc>
        <w:tc>
          <w:tcPr>
            <w:tcW w:w="1247" w:type="dxa"/>
            <w:noWrap/>
            <w:vAlign w:val="top"/>
          </w:tcPr>
          <w:p w14:paraId="6A78AE1D">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7.36%</w:t>
            </w:r>
          </w:p>
        </w:tc>
        <w:tc>
          <w:tcPr>
            <w:tcW w:w="1247" w:type="dxa"/>
            <w:noWrap/>
            <w:vAlign w:val="top"/>
          </w:tcPr>
          <w:p w14:paraId="3144E2C8">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9.04%</w:t>
            </w:r>
          </w:p>
        </w:tc>
        <w:tc>
          <w:tcPr>
            <w:tcW w:w="1247" w:type="dxa"/>
            <w:noWrap/>
            <w:vAlign w:val="top"/>
          </w:tcPr>
          <w:p w14:paraId="14776A90">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10.25%</w:t>
            </w:r>
          </w:p>
        </w:tc>
        <w:tc>
          <w:tcPr>
            <w:tcW w:w="1247" w:type="dxa"/>
            <w:noWrap/>
            <w:vAlign w:val="top"/>
          </w:tcPr>
          <w:p w14:paraId="7305E259">
            <w:pPr>
              <w:widowControl/>
              <w:jc w:val="center"/>
              <w:rPr>
                <w:rFonts w:hint="default" w:eastAsia="宋体"/>
                <w:color w:val="000000"/>
                <w:kern w:val="0"/>
                <w:szCs w:val="21"/>
                <w:lang w:val="en-US" w:eastAsia="zh-CN"/>
              </w:rPr>
            </w:pPr>
            <w:r>
              <w:rPr>
                <w:rFonts w:hint="default" w:eastAsia="宋体"/>
                <w:color w:val="000000"/>
                <w:kern w:val="0"/>
                <w:szCs w:val="21"/>
                <w:lang w:val="en-US" w:eastAsia="zh-CN"/>
              </w:rPr>
              <w:t>10.01%</w:t>
            </w:r>
          </w:p>
        </w:tc>
      </w:tr>
      <w:tr w14:paraId="3460972E">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rHeight w:val="283" w:hRule="atLeast"/>
          <w:jc w:val="center"/>
        </w:trPr>
        <w:tc>
          <w:tcPr>
            <w:tcW w:w="2154" w:type="dxa"/>
            <w:noWrap/>
            <w:vAlign w:val="top"/>
          </w:tcPr>
          <w:p w14:paraId="7624B684">
            <w:pPr>
              <w:widowControl/>
              <w:jc w:val="center"/>
              <w:rPr>
                <w:rFonts w:hint="default"/>
                <w:color w:val="000000"/>
                <w:kern w:val="0"/>
                <w:szCs w:val="21"/>
                <w:lang w:val="en-US" w:eastAsia="zh-CN"/>
              </w:rPr>
            </w:pPr>
            <w:r>
              <w:rPr>
                <w:rFonts w:hint="eastAsia"/>
                <w:color w:val="000000"/>
                <w:kern w:val="0"/>
                <w:szCs w:val="21"/>
                <w:lang w:val="en-US" w:eastAsia="zh-CN"/>
              </w:rPr>
              <w:t>净利润增长率</w:t>
            </w:r>
          </w:p>
        </w:tc>
        <w:tc>
          <w:tcPr>
            <w:tcW w:w="1247" w:type="dxa"/>
            <w:noWrap/>
            <w:vAlign w:val="top"/>
          </w:tcPr>
          <w:p w14:paraId="30258C9D">
            <w:pPr>
              <w:widowControl/>
              <w:jc w:val="center"/>
              <w:rPr>
                <w:rFonts w:hint="eastAsia"/>
                <w:color w:val="000000"/>
                <w:kern w:val="0"/>
                <w:szCs w:val="21"/>
                <w:lang w:val="en-US" w:eastAsia="zh-CN"/>
              </w:rPr>
            </w:pPr>
            <w:r>
              <w:rPr>
                <w:rFonts w:hint="eastAsia"/>
                <w:color w:val="000000"/>
                <w:kern w:val="0"/>
                <w:szCs w:val="21"/>
                <w:lang w:val="en-US" w:eastAsia="zh-CN"/>
              </w:rPr>
              <w:t>61.73%</w:t>
            </w:r>
          </w:p>
        </w:tc>
        <w:tc>
          <w:tcPr>
            <w:tcW w:w="1247" w:type="dxa"/>
            <w:noWrap/>
            <w:vAlign w:val="top"/>
          </w:tcPr>
          <w:p w14:paraId="3EC0567B">
            <w:pPr>
              <w:widowControl/>
              <w:jc w:val="center"/>
              <w:rPr>
                <w:rFonts w:hint="eastAsia"/>
                <w:color w:val="000000"/>
                <w:kern w:val="0"/>
                <w:szCs w:val="21"/>
                <w:lang w:val="en-US" w:eastAsia="zh-CN"/>
              </w:rPr>
            </w:pPr>
            <w:r>
              <w:rPr>
                <w:rFonts w:hint="eastAsia"/>
                <w:color w:val="000000"/>
                <w:kern w:val="0"/>
                <w:szCs w:val="21"/>
                <w:lang w:val="en-US" w:eastAsia="zh-CN"/>
              </w:rPr>
              <w:t>13.75%</w:t>
            </w:r>
          </w:p>
        </w:tc>
        <w:tc>
          <w:tcPr>
            <w:tcW w:w="1247" w:type="dxa"/>
            <w:noWrap/>
            <w:vAlign w:val="top"/>
          </w:tcPr>
          <w:p w14:paraId="3349B493">
            <w:pPr>
              <w:widowControl/>
              <w:jc w:val="center"/>
              <w:rPr>
                <w:rFonts w:hint="eastAsia"/>
                <w:color w:val="000000"/>
                <w:kern w:val="0"/>
                <w:szCs w:val="21"/>
                <w:lang w:val="en-US" w:eastAsia="zh-CN"/>
              </w:rPr>
            </w:pPr>
            <w:r>
              <w:rPr>
                <w:rFonts w:hint="eastAsia"/>
                <w:color w:val="000000"/>
                <w:kern w:val="0"/>
                <w:szCs w:val="21"/>
                <w:lang w:val="en-US" w:eastAsia="zh-CN"/>
              </w:rPr>
              <w:t>62.71%</w:t>
            </w:r>
          </w:p>
        </w:tc>
        <w:tc>
          <w:tcPr>
            <w:tcW w:w="1247" w:type="dxa"/>
            <w:noWrap/>
            <w:vAlign w:val="top"/>
          </w:tcPr>
          <w:p w14:paraId="771E5285">
            <w:pPr>
              <w:widowControl/>
              <w:jc w:val="center"/>
              <w:rPr>
                <w:rFonts w:hint="eastAsia"/>
                <w:color w:val="000000"/>
                <w:kern w:val="0"/>
                <w:szCs w:val="21"/>
                <w:lang w:val="en-US" w:eastAsia="zh-CN"/>
              </w:rPr>
            </w:pPr>
            <w:r>
              <w:rPr>
                <w:rFonts w:hint="eastAsia"/>
                <w:color w:val="000000"/>
                <w:kern w:val="0"/>
                <w:szCs w:val="21"/>
                <w:lang w:val="en-US" w:eastAsia="zh-CN"/>
              </w:rPr>
              <w:t>34.33%</w:t>
            </w:r>
          </w:p>
        </w:tc>
        <w:tc>
          <w:tcPr>
            <w:tcW w:w="1247" w:type="dxa"/>
            <w:noWrap/>
            <w:vAlign w:val="top"/>
          </w:tcPr>
          <w:p w14:paraId="361A6BD8">
            <w:pPr>
              <w:widowControl/>
              <w:jc w:val="center"/>
              <w:rPr>
                <w:rFonts w:hint="eastAsia"/>
                <w:color w:val="000000"/>
                <w:kern w:val="0"/>
                <w:szCs w:val="21"/>
                <w:lang w:val="en-US" w:eastAsia="zh-CN"/>
              </w:rPr>
            </w:pPr>
            <w:r>
              <w:rPr>
                <w:rFonts w:hint="eastAsia"/>
                <w:color w:val="000000"/>
                <w:kern w:val="0"/>
                <w:szCs w:val="21"/>
                <w:lang w:val="en-US" w:eastAsia="zh-CN"/>
              </w:rPr>
              <w:t>0.46%</w:t>
            </w:r>
          </w:p>
        </w:tc>
      </w:tr>
    </w:tbl>
    <w:p w14:paraId="45E9440B">
      <w:pPr>
        <w:spacing w:before="312" w:beforeLines="100" w:after="156" w:afterLines="50"/>
        <w:ind w:firstLine="480" w:firstLineChars="200"/>
        <w:outlineLvl w:val="1"/>
        <w:rPr>
          <w:rFonts w:hint="default" w:ascii="黑体" w:hAnsi="Times New Roman" w:eastAsia="黑体"/>
          <w:b/>
          <w:bCs/>
          <w:sz w:val="24"/>
          <w:szCs w:val="24"/>
          <w:lang w:val="en-US" w:eastAsia="zh-CN"/>
        </w:rPr>
      </w:pPr>
    </w:p>
    <w:p w14:paraId="1E6F6673">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cs="宋体"/>
          <w:bCs/>
          <w:sz w:val="24"/>
          <w:szCs w:val="24"/>
          <w:lang w:val="en-US" w:eastAsia="zh-CN"/>
        </w:rPr>
      </w:pPr>
      <w:r>
        <w:rPr>
          <w:rFonts w:hint="eastAsia" w:ascii="宋体" w:hAnsi="宋体" w:cs="宋体"/>
          <w:bCs/>
          <w:sz w:val="24"/>
          <w:szCs w:val="24"/>
          <w:lang w:val="en-US" w:eastAsia="zh-CN"/>
        </w:rPr>
        <w:t>4.4.1</w:t>
      </w:r>
      <w:r>
        <w:rPr>
          <w:rFonts w:hint="eastAsia" w:ascii="宋体" w:hAnsi="宋体"/>
          <w:sz w:val="24"/>
          <w:szCs w:val="24"/>
          <w:lang w:val="en-US" w:eastAsia="zh-CN"/>
        </w:rPr>
        <w:t>企业营业利润率逐步提高</w:t>
      </w:r>
    </w:p>
    <w:p w14:paraId="4D180CE2">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rFonts w:hint="eastAsia" w:ascii="宋体" w:hAnsi="宋体" w:cs="宋体"/>
          <w:bCs/>
          <w:sz w:val="24"/>
          <w:szCs w:val="24"/>
          <w:lang w:val="en-US" w:eastAsia="zh-CN"/>
        </w:rPr>
        <w:t>4.4.2</w:t>
      </w:r>
      <w:r>
        <w:rPr>
          <w:rFonts w:hint="eastAsia" w:ascii="宋体" w:hAnsi="宋体"/>
          <w:sz w:val="24"/>
          <w:szCs w:val="24"/>
          <w:lang w:val="en-US" w:eastAsia="zh-CN"/>
        </w:rPr>
        <w:t>企业净利润率逐步提高</w:t>
      </w:r>
    </w:p>
    <w:p w14:paraId="38A47AE7">
      <w:pPr>
        <w:widowControl/>
        <w:tabs>
          <w:tab w:val="center" w:pos="4139"/>
          <w:tab w:val="left" w:pos="7545"/>
          <w:tab w:val="right" w:leader="middleDot" w:pos="7740"/>
        </w:tabs>
        <w:spacing w:before="312" w:beforeLines="100" w:after="156" w:afterLines="50"/>
        <w:ind w:firstLine="480" w:firstLineChars="200"/>
        <w:outlineLvl w:val="2"/>
        <w:rPr>
          <w:rFonts w:hint="default" w:ascii="宋体" w:hAnsi="宋体"/>
          <w:sz w:val="24"/>
          <w:szCs w:val="24"/>
          <w:lang w:val="en-US" w:eastAsia="zh-CN"/>
        </w:rPr>
      </w:pPr>
      <w:r>
        <w:rPr>
          <w:rFonts w:hint="eastAsia" w:ascii="宋体" w:hAnsi="宋体"/>
          <w:sz w:val="24"/>
          <w:szCs w:val="24"/>
          <w:lang w:val="en-US" w:eastAsia="zh-CN"/>
        </w:rPr>
        <w:t>4.4.3净利润增长率波动较大，企业发展能力有待提升。</w:t>
      </w:r>
    </w:p>
    <w:p w14:paraId="6A7CE0C4">
      <w:pPr>
        <w:widowControl/>
        <w:jc w:val="left"/>
        <w:rPr>
          <w:rFonts w:ascii="黑体" w:hAnsi="Times New Roman" w:eastAsia="黑体"/>
          <w:b/>
          <w:bCs/>
          <w:sz w:val="32"/>
          <w:szCs w:val="32"/>
        </w:rPr>
      </w:pPr>
      <w:r>
        <w:rPr>
          <w:rFonts w:ascii="黑体" w:hAnsi="Times New Roman" w:eastAsia="黑体"/>
          <w:b/>
          <w:bCs/>
          <w:sz w:val="32"/>
          <w:szCs w:val="32"/>
        </w:rPr>
        <w:br w:type="page"/>
      </w:r>
    </w:p>
    <w:p w14:paraId="169D0A7E">
      <w:pPr>
        <w:tabs>
          <w:tab w:val="center" w:pos="4139"/>
          <w:tab w:val="left" w:pos="7545"/>
          <w:tab w:val="right" w:leader="middleDot" w:pos="7740"/>
        </w:tabs>
        <w:spacing w:before="312" w:beforeLines="100" w:after="312" w:afterLines="100"/>
        <w:jc w:val="center"/>
        <w:outlineLvl w:val="0"/>
        <w:rPr>
          <w:rFonts w:hint="default" w:ascii="黑体" w:hAnsi="Times New Roman" w:eastAsia="黑体"/>
          <w:b/>
          <w:bCs/>
          <w:sz w:val="32"/>
          <w:szCs w:val="32"/>
          <w:lang w:val="en-US" w:eastAsia="zh-CN"/>
        </w:rPr>
      </w:pPr>
      <w:bookmarkStart w:id="59" w:name="_Toc196321922"/>
      <w:bookmarkStart w:id="60" w:name="_Toc196465082"/>
      <w:r>
        <w:rPr>
          <w:rFonts w:ascii="黑体" w:hAnsi="Times New Roman" w:eastAsia="黑体"/>
          <w:b/>
          <w:bCs/>
          <w:sz w:val="32"/>
          <w:szCs w:val="32"/>
        </w:rPr>
        <w:t xml:space="preserve">第5章 </w:t>
      </w:r>
      <w:bookmarkEnd w:id="57"/>
      <w:bookmarkEnd w:id="58"/>
      <w:bookmarkEnd w:id="59"/>
      <w:bookmarkEnd w:id="60"/>
      <w:r>
        <w:rPr>
          <w:rFonts w:hint="eastAsia" w:ascii="黑体" w:hAnsi="Times New Roman" w:eastAsia="黑体"/>
          <w:b/>
          <w:bCs/>
          <w:sz w:val="32"/>
          <w:szCs w:val="32"/>
          <w:lang w:val="en-US" w:eastAsia="zh-CN"/>
        </w:rPr>
        <w:t>安井食品并购新宏业借鉴及启示</w:t>
      </w:r>
    </w:p>
    <w:p w14:paraId="5C0CDC0C">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61" w:name="_Toc37711145"/>
      <w:bookmarkStart w:id="62" w:name="_Toc32606723"/>
      <w:bookmarkStart w:id="63" w:name="_Toc24136"/>
      <w:bookmarkStart w:id="64" w:name="_Toc11375"/>
      <w:bookmarkStart w:id="65" w:name="_Toc196321923"/>
      <w:bookmarkStart w:id="66" w:name="_Toc195533868"/>
      <w:bookmarkStart w:id="67" w:name="_Toc196465083"/>
      <w:bookmarkStart w:id="68" w:name="_Toc195017500"/>
      <w:r>
        <w:rPr>
          <w:rFonts w:ascii="黑体" w:hAnsi="Times New Roman" w:eastAsia="黑体"/>
          <w:b/>
          <w:bCs/>
          <w:sz w:val="24"/>
          <w:szCs w:val="24"/>
        </w:rPr>
        <w:t>5.1</w:t>
      </w:r>
      <w:bookmarkEnd w:id="61"/>
      <w:bookmarkEnd w:id="62"/>
      <w:bookmarkEnd w:id="63"/>
      <w:bookmarkEnd w:id="64"/>
      <w:bookmarkEnd w:id="65"/>
      <w:bookmarkEnd w:id="66"/>
      <w:bookmarkEnd w:id="67"/>
      <w:bookmarkEnd w:id="68"/>
      <w:r>
        <w:rPr>
          <w:rFonts w:hint="eastAsia" w:ascii="黑体" w:hAnsi="Times New Roman" w:eastAsia="黑体"/>
          <w:b/>
          <w:bCs/>
          <w:sz w:val="24"/>
          <w:szCs w:val="24"/>
          <w:lang w:val="en-US" w:eastAsia="zh-CN"/>
        </w:rPr>
        <w:t>借鉴</w:t>
      </w:r>
    </w:p>
    <w:p w14:paraId="5FE0A184">
      <w:pPr>
        <w:widowControl/>
        <w:tabs>
          <w:tab w:val="center" w:pos="4139"/>
          <w:tab w:val="left" w:pos="7545"/>
          <w:tab w:val="right" w:leader="middleDot" w:pos="7740"/>
        </w:tabs>
        <w:spacing w:before="312" w:beforeLines="100" w:after="156" w:afterLines="50"/>
        <w:ind w:firstLine="480" w:firstLineChars="200"/>
        <w:outlineLvl w:val="2"/>
        <w:rPr>
          <w:rFonts w:ascii="宋体" w:hAnsi="宋体" w:cs="宋体"/>
          <w:bCs/>
          <w:sz w:val="24"/>
          <w:szCs w:val="24"/>
        </w:rPr>
      </w:pPr>
      <w:r>
        <w:rPr>
          <w:rFonts w:hint="eastAsia" w:ascii="宋体" w:hAnsi="宋体" w:cs="宋体"/>
          <w:bCs/>
          <w:sz w:val="24"/>
          <w:szCs w:val="24"/>
          <w:lang w:val="en-US" w:eastAsia="zh-CN"/>
        </w:rPr>
        <w:t>5.1.1根据战略需要选择合适并购目标</w:t>
      </w:r>
      <w:r>
        <w:rPr>
          <w:rFonts w:hint="eastAsia" w:ascii="宋体" w:hAnsi="宋体" w:cs="宋体"/>
          <w:bCs/>
          <w:sz w:val="24"/>
          <w:szCs w:val="24"/>
          <w:lang w:val="en-US" w:eastAsia="zh-CN"/>
        </w:rPr>
        <w:t>企业</w:t>
      </w:r>
      <w:bookmarkStart w:id="69" w:name="_Toc9375"/>
      <w:bookmarkStart w:id="70" w:name="_Toc23256"/>
      <w:bookmarkStart w:id="71" w:name="_Toc14478"/>
      <w:bookmarkStart w:id="72" w:name="_Toc12478"/>
    </w:p>
    <w:bookmarkEnd w:id="69"/>
    <w:bookmarkEnd w:id="70"/>
    <w:bookmarkEnd w:id="71"/>
    <w:bookmarkEnd w:id="72"/>
    <w:p w14:paraId="4472013D">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bookmarkStart w:id="73" w:name="_Toc17607"/>
      <w:bookmarkStart w:id="74" w:name="_Toc8651"/>
      <w:bookmarkStart w:id="75" w:name="_Toc5639"/>
      <w:bookmarkStart w:id="76" w:name="_Toc9565"/>
      <w:r>
        <w:rPr>
          <w:rFonts w:ascii="宋体" w:hAnsi="宋体" w:cs="宋体"/>
          <w:bCs/>
          <w:sz w:val="24"/>
          <w:szCs w:val="24"/>
        </w:rPr>
        <w:t xml:space="preserve">5.1.2 </w:t>
      </w:r>
      <w:r>
        <w:rPr>
          <w:rFonts w:hint="eastAsia" w:ascii="宋体" w:hAnsi="宋体"/>
          <w:sz w:val="24"/>
          <w:szCs w:val="24"/>
          <w:lang w:val="en-US" w:eastAsia="zh-CN"/>
        </w:rPr>
        <w:t>充分发挥协同效应提高企业并购绩效</w:t>
      </w:r>
    </w:p>
    <w:p w14:paraId="76DA64E7">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sz w:val="24"/>
        </w:rPr>
        <w:t>协同就是企业通过资源的高效率整合，让不同资源之间相互配合形成的协同效应。企业可以通过并购来获取先进技术、专业人才以及优秀管理经验等资源，来补全自身的不足，增强公司的竞争优势。</w:t>
      </w:r>
      <w:bookmarkStart w:id="126" w:name="_GoBack"/>
      <w:bookmarkEnd w:id="126"/>
    </w:p>
    <w:bookmarkEnd w:id="73"/>
    <w:bookmarkEnd w:id="74"/>
    <w:bookmarkEnd w:id="75"/>
    <w:bookmarkEnd w:id="76"/>
    <w:p w14:paraId="1478FE4F">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77" w:name="_Toc5354"/>
      <w:bookmarkStart w:id="78" w:name="_Toc6478"/>
      <w:bookmarkStart w:id="79" w:name="_Toc195017501"/>
      <w:bookmarkStart w:id="80" w:name="_Toc195533869"/>
      <w:bookmarkStart w:id="81" w:name="_Toc196321927"/>
      <w:bookmarkStart w:id="82" w:name="_Toc196465086"/>
      <w:r>
        <w:rPr>
          <w:rFonts w:ascii="黑体" w:hAnsi="Times New Roman" w:eastAsia="黑体"/>
          <w:b/>
          <w:bCs/>
          <w:sz w:val="24"/>
          <w:szCs w:val="24"/>
        </w:rPr>
        <w:t xml:space="preserve">5.2 </w:t>
      </w:r>
      <w:bookmarkEnd w:id="77"/>
      <w:bookmarkEnd w:id="78"/>
      <w:bookmarkEnd w:id="79"/>
      <w:bookmarkEnd w:id="80"/>
      <w:bookmarkEnd w:id="81"/>
      <w:bookmarkEnd w:id="82"/>
      <w:r>
        <w:rPr>
          <w:rFonts w:hint="eastAsia" w:ascii="黑体" w:hAnsi="Times New Roman" w:eastAsia="黑体"/>
          <w:b/>
          <w:bCs/>
          <w:sz w:val="24"/>
          <w:szCs w:val="24"/>
          <w:lang w:val="en-US" w:eastAsia="zh-CN"/>
        </w:rPr>
        <w:t>启示</w:t>
      </w:r>
    </w:p>
    <w:p w14:paraId="09FFE887">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r>
        <w:rPr>
          <w:rFonts w:hint="eastAsia" w:ascii="宋体" w:hAnsi="宋体" w:cs="宋体"/>
          <w:bCs/>
          <w:sz w:val="24"/>
          <w:szCs w:val="24"/>
          <w:lang w:val="en-US" w:eastAsia="zh-CN"/>
        </w:rPr>
        <w:t>5.2.1</w:t>
      </w:r>
      <w:r>
        <w:rPr>
          <w:rFonts w:hint="eastAsia" w:ascii="宋体" w:hAnsi="宋体"/>
          <w:sz w:val="24"/>
          <w:szCs w:val="24"/>
          <w:lang w:val="en-US" w:eastAsia="zh-CN"/>
        </w:rPr>
        <w:t>适度提升财务杠杆释放资金效能</w:t>
      </w:r>
    </w:p>
    <w:p w14:paraId="720FAA30">
      <w:pPr>
        <w:widowControl/>
        <w:tabs>
          <w:tab w:val="center" w:pos="4139"/>
          <w:tab w:val="left" w:pos="7545"/>
          <w:tab w:val="right" w:leader="middleDot" w:pos="7740"/>
        </w:tabs>
        <w:spacing w:before="312" w:beforeLines="100" w:after="156" w:afterLines="50"/>
        <w:ind w:firstLine="480" w:firstLineChars="200"/>
        <w:outlineLvl w:val="2"/>
        <w:rPr>
          <w:rFonts w:hint="eastAsia" w:ascii="宋体" w:hAnsi="宋体"/>
          <w:sz w:val="24"/>
          <w:szCs w:val="24"/>
          <w:lang w:val="en-US" w:eastAsia="zh-CN"/>
        </w:rPr>
      </w:pPr>
    </w:p>
    <w:p w14:paraId="65C211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lang w:val="en-US" w:eastAsia="zh-CN"/>
        </w:rPr>
      </w:pPr>
      <w:bookmarkStart w:id="83" w:name="_Toc196321929"/>
      <w:bookmarkStart w:id="84" w:name="_Toc196465088"/>
      <w:bookmarkStart w:id="85" w:name="_Toc21057"/>
      <w:bookmarkStart w:id="86" w:name="_Toc12197"/>
      <w:bookmarkStart w:id="87" w:name="_Toc11905"/>
      <w:bookmarkStart w:id="88" w:name="_Toc26876"/>
      <w:bookmarkStart w:id="89" w:name="_Toc22623"/>
      <w:bookmarkStart w:id="90" w:name="_Toc7316"/>
      <w:bookmarkStart w:id="91" w:name="_Toc30590"/>
      <w:bookmarkStart w:id="92" w:name="_Toc1313"/>
      <w:bookmarkStart w:id="93" w:name="_Toc22943"/>
      <w:bookmarkStart w:id="94" w:name="_Toc195533870"/>
      <w:bookmarkStart w:id="95" w:name="_Toc195017502"/>
      <w:r>
        <w:rPr>
          <w:rFonts w:ascii="宋体" w:hAnsi="宋体" w:cs="宋体"/>
          <w:bCs/>
          <w:sz w:val="24"/>
          <w:szCs w:val="24"/>
        </w:rPr>
        <w:t xml:space="preserve">5.2.2 </w:t>
      </w:r>
      <w:bookmarkEnd w:id="83"/>
      <w:bookmarkEnd w:id="84"/>
      <w:r>
        <w:rPr>
          <w:rFonts w:hint="eastAsia" w:ascii="宋体" w:hAnsi="宋体"/>
          <w:sz w:val="24"/>
          <w:szCs w:val="24"/>
          <w:lang w:val="en-US" w:eastAsia="zh-CN"/>
        </w:rPr>
        <w:t>实现全面成本管控提高公司盈利水平</w:t>
      </w:r>
    </w:p>
    <w:p w14:paraId="3A783A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sz w:val="24"/>
          <w:szCs w:val="24"/>
          <w:lang w:val="en-US" w:eastAsia="zh-CN"/>
        </w:rPr>
      </w:pPr>
    </w:p>
    <w:p w14:paraId="785C0A6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sz w:val="24"/>
          <w:szCs w:val="24"/>
          <w:lang w:val="en-US" w:eastAsia="zh-CN"/>
        </w:rPr>
      </w:pPr>
    </w:p>
    <w:p w14:paraId="1AF08FC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sz w:val="24"/>
          <w:szCs w:val="24"/>
          <w:lang w:val="en-US" w:eastAsia="zh-CN"/>
        </w:rPr>
      </w:pPr>
      <w:r>
        <w:rPr>
          <w:rFonts w:ascii="宋体" w:hAnsi="宋体" w:cs="宋体"/>
          <w:bCs/>
          <w:sz w:val="24"/>
          <w:szCs w:val="24"/>
        </w:rPr>
        <w:t>5.2.</w:t>
      </w:r>
      <w:r>
        <w:rPr>
          <w:rFonts w:hint="eastAsia" w:ascii="宋体" w:hAnsi="宋体" w:cs="宋体"/>
          <w:bCs/>
          <w:sz w:val="24"/>
          <w:szCs w:val="24"/>
          <w:lang w:val="en-US" w:eastAsia="zh-CN"/>
        </w:rPr>
        <w:t>3</w:t>
      </w:r>
      <w:r>
        <w:rPr>
          <w:rFonts w:ascii="宋体" w:hAnsi="宋体" w:cs="宋体"/>
          <w:bCs/>
          <w:sz w:val="24"/>
          <w:szCs w:val="24"/>
        </w:rPr>
        <w:t xml:space="preserve"> </w:t>
      </w:r>
      <w:r>
        <w:rPr>
          <w:rFonts w:hint="eastAsia" w:ascii="宋体" w:hAnsi="宋体"/>
          <w:sz w:val="24"/>
          <w:szCs w:val="24"/>
          <w:lang w:val="en-US" w:eastAsia="zh-CN"/>
        </w:rPr>
        <w:t>改善企业资产管理质量提升营运能力</w:t>
      </w:r>
    </w:p>
    <w:p w14:paraId="6814DF5F">
      <w:pPr>
        <w:widowControl/>
        <w:tabs>
          <w:tab w:val="center" w:pos="4139"/>
          <w:tab w:val="left" w:pos="7545"/>
          <w:tab w:val="right" w:leader="middleDot" w:pos="7740"/>
        </w:tabs>
        <w:spacing w:before="312" w:beforeLines="100" w:after="156" w:afterLines="50"/>
        <w:outlineLvl w:val="2"/>
        <w:rPr>
          <w:rFonts w:ascii="宋体" w:hAnsi="宋体" w:cs="宋体"/>
          <w:bCs/>
          <w:sz w:val="24"/>
          <w:szCs w:val="24"/>
        </w:rPr>
      </w:pPr>
    </w:p>
    <w:bookmarkEnd w:id="85"/>
    <w:bookmarkEnd w:id="86"/>
    <w:bookmarkEnd w:id="87"/>
    <w:bookmarkEnd w:id="88"/>
    <w:bookmarkEnd w:id="89"/>
    <w:bookmarkEnd w:id="90"/>
    <w:bookmarkEnd w:id="91"/>
    <w:p w14:paraId="1E5C51B8">
      <w:pPr>
        <w:spacing w:line="400" w:lineRule="exact"/>
        <w:ind w:firstLine="480" w:firstLineChars="200"/>
        <w:rPr>
          <w:rFonts w:hint="eastAsia" w:ascii="Times New Roman" w:hAnsi="Times New Roman"/>
          <w:sz w:val="24"/>
          <w:szCs w:val="24"/>
        </w:rPr>
      </w:pPr>
      <w:bookmarkStart w:id="96" w:name="_Toc196321930"/>
    </w:p>
    <w:p w14:paraId="7E9BF168">
      <w:pPr>
        <w:spacing w:line="400" w:lineRule="exact"/>
        <w:ind w:firstLine="480" w:firstLineChars="200"/>
        <w:rPr>
          <w:rFonts w:hint="eastAsia" w:ascii="Times New Roman" w:hAnsi="Times New Roman"/>
          <w:sz w:val="24"/>
          <w:szCs w:val="24"/>
        </w:rPr>
      </w:pPr>
    </w:p>
    <w:p w14:paraId="438BF595">
      <w:pPr>
        <w:spacing w:line="400" w:lineRule="exact"/>
        <w:ind w:firstLine="480" w:firstLineChars="200"/>
        <w:rPr>
          <w:rFonts w:hint="eastAsia" w:ascii="Times New Roman" w:hAnsi="Times New Roman"/>
          <w:sz w:val="24"/>
          <w:szCs w:val="24"/>
        </w:rPr>
      </w:pPr>
    </w:p>
    <w:p w14:paraId="3A06C989">
      <w:pPr>
        <w:spacing w:line="400" w:lineRule="exact"/>
        <w:ind w:firstLine="480" w:firstLineChars="200"/>
        <w:rPr>
          <w:rFonts w:hint="eastAsia" w:ascii="Times New Roman" w:hAnsi="Times New Roman"/>
          <w:sz w:val="24"/>
          <w:szCs w:val="24"/>
        </w:rPr>
      </w:pPr>
    </w:p>
    <w:p w14:paraId="3B4E1106">
      <w:pPr>
        <w:spacing w:line="400" w:lineRule="exact"/>
        <w:ind w:firstLine="480" w:firstLineChars="200"/>
        <w:rPr>
          <w:rFonts w:hint="eastAsia" w:ascii="Times New Roman" w:hAnsi="Times New Roman"/>
          <w:sz w:val="24"/>
          <w:szCs w:val="24"/>
        </w:rPr>
      </w:pPr>
    </w:p>
    <w:p w14:paraId="206B95BE">
      <w:pPr>
        <w:spacing w:line="400" w:lineRule="exact"/>
        <w:ind w:firstLine="480" w:firstLineChars="200"/>
        <w:rPr>
          <w:rFonts w:hint="eastAsia" w:ascii="Times New Roman" w:hAnsi="Times New Roman"/>
          <w:sz w:val="24"/>
          <w:szCs w:val="24"/>
        </w:rPr>
      </w:pPr>
    </w:p>
    <w:p w14:paraId="51B4BE0C">
      <w:pPr>
        <w:spacing w:line="400" w:lineRule="exact"/>
        <w:ind w:firstLine="480" w:firstLineChars="200"/>
        <w:rPr>
          <w:rFonts w:hint="eastAsia" w:ascii="Times New Roman" w:hAnsi="Times New Roman"/>
          <w:sz w:val="24"/>
          <w:szCs w:val="24"/>
        </w:rPr>
      </w:pPr>
    </w:p>
    <w:p w14:paraId="7D3BD669">
      <w:pPr>
        <w:spacing w:line="400" w:lineRule="exact"/>
        <w:ind w:firstLine="480" w:firstLineChars="200"/>
        <w:rPr>
          <w:rFonts w:hint="eastAsia" w:ascii="Times New Roman" w:hAnsi="Times New Roman"/>
          <w:sz w:val="24"/>
          <w:szCs w:val="24"/>
        </w:rPr>
      </w:pPr>
    </w:p>
    <w:p w14:paraId="2146F403">
      <w:pPr>
        <w:spacing w:line="400" w:lineRule="exact"/>
        <w:ind w:firstLine="480" w:firstLineChars="200"/>
        <w:rPr>
          <w:rFonts w:hint="eastAsia" w:ascii="Times New Roman" w:hAnsi="Times New Roman"/>
          <w:sz w:val="24"/>
          <w:szCs w:val="24"/>
        </w:rPr>
      </w:pPr>
    </w:p>
    <w:p w14:paraId="093874DE">
      <w:pPr>
        <w:spacing w:line="400" w:lineRule="exact"/>
        <w:ind w:firstLine="480" w:firstLineChars="200"/>
        <w:rPr>
          <w:rFonts w:hint="eastAsia" w:ascii="Times New Roman" w:hAnsi="Times New Roman"/>
          <w:sz w:val="24"/>
          <w:szCs w:val="24"/>
        </w:rPr>
      </w:pPr>
    </w:p>
    <w:p w14:paraId="04DFD95B">
      <w:pPr>
        <w:spacing w:line="400" w:lineRule="exact"/>
        <w:ind w:firstLine="480" w:firstLineChars="200"/>
        <w:rPr>
          <w:rFonts w:hint="eastAsia" w:ascii="Times New Roman" w:hAnsi="Times New Roman"/>
          <w:sz w:val="24"/>
          <w:szCs w:val="24"/>
        </w:rPr>
      </w:pPr>
    </w:p>
    <w:p w14:paraId="28B83364">
      <w:pPr>
        <w:spacing w:line="400" w:lineRule="exact"/>
        <w:ind w:firstLine="480" w:firstLineChars="200"/>
        <w:rPr>
          <w:rFonts w:hint="eastAsia" w:ascii="Times New Roman" w:hAnsi="Times New Roman"/>
          <w:sz w:val="24"/>
          <w:szCs w:val="24"/>
        </w:rPr>
      </w:pPr>
    </w:p>
    <w:p w14:paraId="3B85C63B">
      <w:pPr>
        <w:spacing w:line="400" w:lineRule="exact"/>
        <w:ind w:firstLine="480" w:firstLineChars="200"/>
        <w:rPr>
          <w:rFonts w:hint="eastAsia" w:ascii="Times New Roman" w:hAnsi="Times New Roman"/>
          <w:sz w:val="24"/>
          <w:szCs w:val="24"/>
        </w:rPr>
      </w:pPr>
    </w:p>
    <w:p w14:paraId="7F5AF883">
      <w:pPr>
        <w:spacing w:line="400" w:lineRule="exact"/>
        <w:ind w:firstLine="480" w:firstLineChars="200"/>
        <w:rPr>
          <w:rFonts w:hint="eastAsia" w:ascii="Times New Roman" w:hAnsi="Times New Roman"/>
          <w:sz w:val="24"/>
          <w:szCs w:val="24"/>
        </w:rPr>
      </w:pPr>
    </w:p>
    <w:p w14:paraId="6ED21A20">
      <w:pPr>
        <w:spacing w:line="400" w:lineRule="exact"/>
        <w:ind w:firstLine="480" w:firstLineChars="200"/>
        <w:rPr>
          <w:rFonts w:hint="eastAsia" w:ascii="Times New Roman" w:hAnsi="Times New Roman"/>
          <w:sz w:val="24"/>
          <w:szCs w:val="24"/>
        </w:rPr>
      </w:pPr>
    </w:p>
    <w:p w14:paraId="3D55F232">
      <w:pPr>
        <w:spacing w:line="400" w:lineRule="exact"/>
        <w:ind w:firstLine="480" w:firstLineChars="200"/>
        <w:rPr>
          <w:rFonts w:hint="eastAsia" w:ascii="Times New Roman" w:hAnsi="Times New Roman"/>
          <w:sz w:val="24"/>
          <w:szCs w:val="24"/>
        </w:rPr>
      </w:pPr>
    </w:p>
    <w:bookmarkEnd w:id="92"/>
    <w:bookmarkEnd w:id="93"/>
    <w:bookmarkEnd w:id="94"/>
    <w:bookmarkEnd w:id="95"/>
    <w:bookmarkEnd w:id="96"/>
    <w:p w14:paraId="49D57CBC">
      <w:pPr>
        <w:tabs>
          <w:tab w:val="center" w:pos="4139"/>
          <w:tab w:val="left" w:pos="7545"/>
          <w:tab w:val="right" w:leader="middleDot" w:pos="7740"/>
        </w:tabs>
        <w:spacing w:before="312" w:beforeLines="100" w:after="312" w:afterLines="100"/>
        <w:jc w:val="center"/>
        <w:outlineLvl w:val="0"/>
        <w:rPr>
          <w:rFonts w:hint="default" w:ascii="黑体" w:hAnsi="Times New Roman" w:eastAsia="黑体"/>
          <w:b/>
          <w:bCs/>
          <w:sz w:val="32"/>
          <w:szCs w:val="32"/>
          <w:lang w:val="en-US" w:eastAsia="zh-CN"/>
        </w:rPr>
      </w:pPr>
      <w:bookmarkStart w:id="97" w:name="_Toc196321936"/>
      <w:bookmarkStart w:id="98" w:name="_Toc196465095"/>
      <w:r>
        <w:rPr>
          <w:rFonts w:ascii="黑体" w:hAnsi="Times New Roman" w:eastAsia="黑体"/>
          <w:b/>
          <w:bCs/>
          <w:sz w:val="32"/>
          <w:szCs w:val="32"/>
        </w:rPr>
        <w:t xml:space="preserve">第6章 </w:t>
      </w:r>
      <w:bookmarkEnd w:id="97"/>
      <w:bookmarkEnd w:id="98"/>
      <w:r>
        <w:rPr>
          <w:rFonts w:hint="eastAsia" w:ascii="黑体" w:hAnsi="Times New Roman" w:eastAsia="黑体"/>
          <w:b/>
          <w:bCs/>
          <w:sz w:val="32"/>
          <w:szCs w:val="32"/>
          <w:lang w:val="en-US" w:eastAsia="zh-CN"/>
        </w:rPr>
        <w:t>结论与展望</w:t>
      </w:r>
    </w:p>
    <w:p w14:paraId="04815DEA">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99" w:name="_Toc19791"/>
      <w:bookmarkStart w:id="100" w:name="_Toc196321937"/>
      <w:bookmarkStart w:id="101" w:name="_Toc196465096"/>
      <w:r>
        <w:rPr>
          <w:rFonts w:ascii="黑体" w:hAnsi="Times New Roman" w:eastAsia="黑体"/>
          <w:b/>
          <w:bCs/>
          <w:sz w:val="24"/>
          <w:szCs w:val="24"/>
        </w:rPr>
        <w:t>6.1</w:t>
      </w:r>
      <w:bookmarkEnd w:id="99"/>
      <w:bookmarkEnd w:id="100"/>
      <w:bookmarkEnd w:id="101"/>
      <w:r>
        <w:rPr>
          <w:rFonts w:hint="eastAsia" w:ascii="黑体" w:hAnsi="Times New Roman" w:eastAsia="黑体"/>
          <w:b/>
          <w:bCs/>
          <w:sz w:val="24"/>
          <w:szCs w:val="24"/>
          <w:lang w:val="en-US" w:eastAsia="zh-CN"/>
        </w:rPr>
        <w:t>结论</w:t>
      </w:r>
    </w:p>
    <w:p w14:paraId="457281BF">
      <w:pPr>
        <w:spacing w:line="400" w:lineRule="exact"/>
        <w:ind w:firstLine="480" w:firstLineChars="200"/>
        <w:rPr>
          <w:rFonts w:ascii="Times New Roman" w:hAnsi="Times New Roman"/>
          <w:sz w:val="24"/>
          <w:szCs w:val="24"/>
        </w:rPr>
      </w:pPr>
      <w:bookmarkStart w:id="102" w:name="_Toc14334"/>
      <w:bookmarkStart w:id="103" w:name="_Toc196321938"/>
      <w:r>
        <w:rPr>
          <w:rFonts w:hint="eastAsia" w:ascii="Times New Roman" w:hAnsi="Times New Roman"/>
          <w:sz w:val="24"/>
          <w:szCs w:val="24"/>
        </w:rPr>
        <w:t>精控成本，提升效益，集中采购，降低进价。百事并购百草味后，整合双方采购网络与供应商资源，以更大采购量获取价格优势。通过集中采购谈判，争取更低采购价格、更灵活付款条件，实现原材料成本的有效控制。</w:t>
      </w:r>
    </w:p>
    <w:p w14:paraId="007A4190">
      <w:pPr>
        <w:spacing w:line="400" w:lineRule="exact"/>
        <w:ind w:firstLine="480" w:firstLineChars="200"/>
        <w:rPr>
          <w:rFonts w:ascii="Times New Roman" w:hAnsi="Times New Roman"/>
          <w:sz w:val="24"/>
          <w:szCs w:val="24"/>
        </w:rPr>
      </w:pPr>
      <w:r>
        <w:rPr>
          <w:rFonts w:hint="eastAsia" w:ascii="Times New Roman" w:hAnsi="Times New Roman"/>
          <w:sz w:val="24"/>
          <w:szCs w:val="24"/>
        </w:rPr>
        <w:t xml:space="preserve">优化工艺，降本增效，凭借自身先进生产技术和管理经验，全面梳理百草味生产流程，优化生产工艺，引入自动化设备，提高生产效率，降低单位生产成本，增强产品价格竞争力。         </w:t>
      </w:r>
    </w:p>
    <w:p w14:paraId="364599BB">
      <w:pPr>
        <w:spacing w:line="400" w:lineRule="exact"/>
        <w:ind w:firstLine="480" w:firstLineChars="200"/>
        <w:rPr>
          <w:rFonts w:ascii="Times New Roman" w:hAnsi="Times New Roman"/>
          <w:sz w:val="24"/>
          <w:szCs w:val="24"/>
        </w:rPr>
      </w:pPr>
      <w:r>
        <w:rPr>
          <w:rFonts w:hint="eastAsia" w:ascii="Times New Roman" w:hAnsi="Times New Roman"/>
          <w:sz w:val="24"/>
          <w:szCs w:val="24"/>
        </w:rPr>
        <w:t>协同营销，精准投放，结合双方品牌特性和市场定位，制定统一营销策略，避免重复投入。借助百事品牌影响力和营销渠道，精准定位百草味目标客户，提高营销效果，降低营销成本。</w:t>
      </w:r>
    </w:p>
    <w:p w14:paraId="199278E4">
      <w:pPr>
        <w:spacing w:before="312" w:beforeLines="100" w:after="156" w:afterLines="50"/>
        <w:ind w:firstLine="480" w:firstLineChars="200"/>
        <w:outlineLvl w:val="1"/>
        <w:rPr>
          <w:rFonts w:hint="eastAsia" w:ascii="黑体" w:hAnsi="Times New Roman" w:eastAsia="黑体"/>
          <w:b/>
          <w:bCs/>
          <w:sz w:val="24"/>
          <w:szCs w:val="24"/>
          <w:lang w:val="en-US" w:eastAsia="zh-CN"/>
        </w:rPr>
      </w:pPr>
      <w:bookmarkStart w:id="104" w:name="_Toc196465097"/>
      <w:r>
        <w:rPr>
          <w:rFonts w:ascii="黑体" w:hAnsi="Times New Roman" w:eastAsia="黑体"/>
          <w:b/>
          <w:bCs/>
          <w:sz w:val="24"/>
          <w:szCs w:val="24"/>
        </w:rPr>
        <w:t>6.2</w:t>
      </w:r>
      <w:bookmarkEnd w:id="102"/>
      <w:bookmarkEnd w:id="103"/>
      <w:bookmarkEnd w:id="104"/>
      <w:r>
        <w:rPr>
          <w:rFonts w:hint="eastAsia" w:ascii="黑体" w:hAnsi="Times New Roman" w:eastAsia="黑体"/>
          <w:b/>
          <w:bCs/>
          <w:sz w:val="24"/>
          <w:szCs w:val="24"/>
          <w:lang w:val="en-US" w:eastAsia="zh-CN"/>
        </w:rPr>
        <w:t>展望</w:t>
      </w:r>
    </w:p>
    <w:p w14:paraId="494F06DE">
      <w:pPr>
        <w:spacing w:line="400" w:lineRule="exact"/>
        <w:ind w:firstLine="480" w:firstLineChars="200"/>
        <w:rPr>
          <w:rFonts w:ascii="Times New Roman" w:hAnsi="Times New Roman"/>
          <w:sz w:val="24"/>
          <w:szCs w:val="24"/>
        </w:rPr>
      </w:pPr>
      <w:bookmarkStart w:id="105" w:name="_Toc196321939"/>
      <w:bookmarkStart w:id="106" w:name="_Toc26183"/>
      <w:r>
        <w:rPr>
          <w:rFonts w:hint="eastAsia" w:ascii="Times New Roman" w:hAnsi="Times New Roman"/>
          <w:sz w:val="24"/>
          <w:szCs w:val="24"/>
        </w:rPr>
        <w:t>整合供应链，提升效率。融合百事和百草味供应链优势，建立统一管理系统，利用大数据预测需求，优化库存管理，减少积压，降低物流成本，提高配送效率，实现供应链的高效运作。</w:t>
      </w:r>
    </w:p>
    <w:p w14:paraId="4816B906">
      <w:pPr>
        <w:spacing w:line="400" w:lineRule="exact"/>
        <w:ind w:firstLine="480" w:firstLineChars="200"/>
        <w:rPr>
          <w:rFonts w:ascii="黑体" w:hAnsi="Times New Roman" w:eastAsia="黑体"/>
          <w:b/>
          <w:bCs/>
          <w:sz w:val="24"/>
          <w:szCs w:val="24"/>
        </w:rPr>
      </w:pPr>
      <w:r>
        <w:rPr>
          <w:rFonts w:hint="eastAsia" w:ascii="Times New Roman" w:hAnsi="Times New Roman"/>
          <w:sz w:val="24"/>
          <w:szCs w:val="24"/>
        </w:rPr>
        <w:t>融合线上线下，拓展渠道。结合百草味线上运营优势与百事线下渠道资源，拓展销售网络，提升市场覆盖率。优化渠道管理，提高运营效率，加速销售回款，提升资金使用效率。</w:t>
      </w:r>
    </w:p>
    <w:bookmarkEnd w:id="105"/>
    <w:bookmarkEnd w:id="106"/>
    <w:p w14:paraId="7E68D84B">
      <w:pPr>
        <w:spacing w:line="400" w:lineRule="exact"/>
        <w:ind w:firstLine="480" w:firstLineChars="200"/>
        <w:rPr>
          <w:rFonts w:ascii="Times New Roman" w:hAnsi="Times New Roman"/>
          <w:sz w:val="24"/>
          <w:szCs w:val="24"/>
        </w:rPr>
      </w:pPr>
    </w:p>
    <w:p w14:paraId="2409C223">
      <w:pPr>
        <w:spacing w:line="400" w:lineRule="exact"/>
        <w:rPr>
          <w:rFonts w:ascii="Times New Roman" w:hAnsi="Times New Roman"/>
          <w:sz w:val="24"/>
          <w:szCs w:val="24"/>
        </w:rPr>
      </w:pPr>
    </w:p>
    <w:p w14:paraId="25C62BA4">
      <w:pPr>
        <w:pStyle w:val="5"/>
        <w:rPr>
          <w:rFonts w:ascii="Times New Roman" w:eastAsia="宋体"/>
          <w:color w:val="000000" w:themeColor="text1"/>
          <w:sz w:val="24"/>
          <w14:textFill>
            <w14:solidFill>
              <w14:schemeClr w14:val="tx1"/>
            </w14:solidFill>
          </w14:textFill>
        </w:rPr>
      </w:pPr>
    </w:p>
    <w:p w14:paraId="1E8BF7C3">
      <w:pPr>
        <w:spacing w:line="400" w:lineRule="exact"/>
        <w:ind w:firstLine="420"/>
        <w:rPr>
          <w:rFonts w:ascii="Times New Roman" w:hAnsi="Times New Roman"/>
        </w:rPr>
      </w:pPr>
      <w:r>
        <w:rPr>
          <w:rFonts w:hint="eastAsia" w:ascii="Times New Roman" w:eastAsia="宋体"/>
          <w:color w:val="000000" w:themeColor="text1"/>
          <w:sz w:val="24"/>
          <w14:textFill>
            <w14:solidFill>
              <w14:schemeClr w14:val="tx1"/>
            </w14:solidFill>
          </w14:textFill>
        </w:rPr>
        <w:t xml:space="preserve">                                                </w:t>
      </w:r>
      <w:bookmarkStart w:id="107" w:name="_Toc25856"/>
      <w:bookmarkStart w:id="108" w:name="_Toc9980"/>
      <w:r>
        <w:rPr>
          <w:rFonts w:ascii="Times New Roman" w:hAnsi="Times New Roman"/>
        </w:rPr>
        <w:br w:type="page"/>
      </w:r>
    </w:p>
    <w:p w14:paraId="5B937E18">
      <w:pPr>
        <w:keepNext w:val="0"/>
        <w:keepLines w:val="0"/>
        <w:pageBreakBefore w:val="0"/>
        <w:widowControl w:val="0"/>
        <w:tabs>
          <w:tab w:val="center" w:pos="4139"/>
          <w:tab w:val="left" w:pos="7545"/>
          <w:tab w:val="right" w:leader="middleDot" w:pos="7740"/>
        </w:tabs>
        <w:kinsoku/>
        <w:wordWrap/>
        <w:overflowPunct/>
        <w:topLinePunct w:val="0"/>
        <w:autoSpaceDE/>
        <w:autoSpaceDN/>
        <w:bidi w:val="0"/>
        <w:adjustRightInd/>
        <w:snapToGrid/>
        <w:spacing w:before="312" w:beforeLines="100" w:after="312" w:afterLines="100"/>
        <w:ind w:firstLine="640" w:firstLineChars="200"/>
        <w:jc w:val="left"/>
        <w:textAlignment w:val="auto"/>
        <w:outlineLvl w:val="0"/>
        <w:rPr>
          <w:rFonts w:ascii="黑体" w:hAnsi="Times New Roman" w:eastAsia="黑体"/>
          <w:b/>
          <w:bCs/>
          <w:sz w:val="32"/>
          <w:szCs w:val="32"/>
        </w:rPr>
      </w:pPr>
      <w:bookmarkStart w:id="109" w:name="_Toc196321942"/>
      <w:bookmarkStart w:id="110" w:name="_Toc196465101"/>
      <w:r>
        <w:rPr>
          <w:rFonts w:ascii="黑体" w:hAnsi="Times New Roman" w:eastAsia="黑体"/>
          <w:b/>
          <w:bCs/>
          <w:sz w:val="32"/>
          <w:szCs w:val="32"/>
        </w:rPr>
        <w:t>参考文献</w:t>
      </w:r>
      <w:bookmarkEnd w:id="107"/>
      <w:bookmarkEnd w:id="108"/>
      <w:bookmarkEnd w:id="109"/>
      <w:bookmarkEnd w:id="110"/>
      <w:bookmarkStart w:id="111" w:name="_Ref17184"/>
    </w:p>
    <w:p w14:paraId="70B56A82">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]孙颖.“好想你”并购“百草味”——一次“百年好合”的联姻[J].现代审计与会计,2019(12):22-25.</w:t>
      </w:r>
      <w:bookmarkEnd w:id="111"/>
      <w:bookmarkStart w:id="112" w:name="_Ref17239"/>
    </w:p>
    <w:p w14:paraId="402A1EF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]沈彩妹.企业并购的财务绩效研究[J].全国流通经济,2020(19):74-76.</w:t>
      </w:r>
      <w:bookmarkEnd w:id="112"/>
    </w:p>
    <w:p w14:paraId="4BA68524">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13" w:name="_Ref17275"/>
      <w:r>
        <w:rPr>
          <w:rFonts w:hint="eastAsia" w:ascii="宋体" w:hAnsi="宋体" w:eastAsia="宋体" w:cs="宋体"/>
          <w:sz w:val="24"/>
          <w:szCs w:val="24"/>
        </w:rPr>
        <w:t>[3]吕秦玥.企业并购财务风险分析及其风险防范研究[J].西部皮革,2020,42(06):71.</w:t>
      </w:r>
      <w:bookmarkEnd w:id="113"/>
    </w:p>
    <w:p w14:paraId="5D4714D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14" w:name="_Ref17327"/>
      <w:r>
        <w:rPr>
          <w:rFonts w:hint="eastAsia" w:ascii="宋体" w:hAnsi="宋体" w:eastAsia="宋体" w:cs="宋体"/>
          <w:sz w:val="24"/>
          <w:szCs w:val="24"/>
        </w:rPr>
        <w:t>[4]</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吴宗奎.消费升级背景下零售类上市公司并购效应及趋势分析[J].商业经济研究,2020(06):168-171.</w:t>
      </w:r>
      <w:bookmarkEnd w:id="114"/>
    </w:p>
    <w:p w14:paraId="4BE5C4A0">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15" w:name="_Ref17373"/>
      <w:r>
        <w:rPr>
          <w:rFonts w:hint="eastAsia" w:ascii="宋体" w:hAnsi="宋体" w:eastAsia="宋体" w:cs="宋体"/>
          <w:sz w:val="24"/>
          <w:szCs w:val="24"/>
        </w:rPr>
        <w:t>[5]</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张金洪.企业并购后的盈利能力分析[J].全国流通经济,2020(20):86-87.</w:t>
      </w:r>
      <w:bookmarkEnd w:id="115"/>
    </w:p>
    <w:p w14:paraId="4777AD0C">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16" w:name="_Ref17402"/>
      <w:r>
        <w:rPr>
          <w:rFonts w:hint="eastAsia" w:ascii="宋体" w:hAnsi="宋体" w:eastAsia="宋体" w:cs="宋体"/>
          <w:sz w:val="24"/>
          <w:szCs w:val="24"/>
        </w:rPr>
        <w:t>[</w:t>
      </w:r>
      <w:r>
        <w:rPr>
          <w:rFonts w:hint="eastAsia" w:ascii="宋体" w:hAnsi="宋体" w:eastAsia="宋体" w:cs="宋体"/>
          <w:sz w:val="24"/>
          <w:szCs w:val="24"/>
          <w:lang w:val="en-US" w:eastAsia="zh-CN"/>
        </w:rPr>
        <w:t>6</w:t>
      </w:r>
      <w:r>
        <w:rPr>
          <w:rFonts w:hint="eastAsia" w:ascii="宋体" w:hAnsi="宋体" w:eastAsia="宋体" w:cs="宋体"/>
          <w:sz w:val="24"/>
          <w:szCs w:val="24"/>
        </w:rPr>
        <w:t>] 张轩栋. “好想你”买卖“百草味”的动因与绩效研究[D].石河子:石河子大学,2023.</w:t>
      </w:r>
      <w:bookmarkEnd w:id="116"/>
      <w:r>
        <w:rPr>
          <w:rFonts w:hint="eastAsia" w:ascii="宋体" w:hAnsi="宋体" w:eastAsia="宋体" w:cs="宋体"/>
          <w:sz w:val="24"/>
          <w:szCs w:val="24"/>
        </w:rPr>
        <w:t>https://link.cnki.net/doi/10.27332/d.cnki.gshzu.2022.000191doi:10.27332/d.cnki.gshzu.2022.000191.</w:t>
      </w:r>
    </w:p>
    <w:p w14:paraId="0E43F338">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17" w:name="_Ref17435"/>
      <w:r>
        <w:rPr>
          <w:rFonts w:hint="eastAsia" w:ascii="宋体" w:hAnsi="宋体" w:eastAsia="宋体" w:cs="宋体"/>
          <w:sz w:val="24"/>
          <w:szCs w:val="24"/>
        </w:rPr>
        <w:t>[</w:t>
      </w:r>
      <w:r>
        <w:rPr>
          <w:rFonts w:hint="eastAsia" w:ascii="宋体" w:hAnsi="宋体" w:eastAsia="宋体" w:cs="宋体"/>
          <w:sz w:val="24"/>
          <w:szCs w:val="24"/>
          <w:lang w:val="en-US" w:eastAsia="zh-CN"/>
        </w:rPr>
        <w:t>7</w:t>
      </w:r>
      <w:r>
        <w:rPr>
          <w:rFonts w:hint="eastAsia" w:ascii="宋体" w:hAnsi="宋体" w:eastAsia="宋体" w:cs="宋体"/>
          <w:sz w:val="24"/>
          <w:szCs w:val="24"/>
        </w:rPr>
        <w:t>] 金亚楠.好想你的战略转型之路：先并购后处置百草味[J].河北企业,2022(10):50-52</w:t>
      </w:r>
      <w:bookmarkEnd w:id="117"/>
      <w:r>
        <w:rPr>
          <w:rFonts w:hint="eastAsia" w:ascii="宋体" w:hAnsi="宋体" w:eastAsia="宋体" w:cs="宋体"/>
          <w:sz w:val="24"/>
          <w:szCs w:val="24"/>
        </w:rPr>
        <w:t>.</w:t>
      </w:r>
    </w:p>
    <w:p w14:paraId="0442B37E">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18" w:name="_Ref17474"/>
      <w:r>
        <w:rPr>
          <w:rFonts w:hint="eastAsia" w:ascii="宋体" w:hAnsi="宋体" w:eastAsia="宋体" w:cs="宋体"/>
          <w:sz w:val="24"/>
          <w:szCs w:val="24"/>
        </w:rPr>
        <w:t>[</w:t>
      </w:r>
      <w:r>
        <w:rPr>
          <w:rFonts w:hint="eastAsia" w:ascii="宋体" w:hAnsi="宋体" w:eastAsia="宋体" w:cs="宋体"/>
          <w:sz w:val="24"/>
          <w:szCs w:val="24"/>
          <w:lang w:val="en-US" w:eastAsia="zh-CN"/>
        </w:rPr>
        <w:t>8</w:t>
      </w:r>
      <w:r>
        <w:rPr>
          <w:rFonts w:hint="eastAsia" w:ascii="宋体" w:hAnsi="宋体" w:eastAsia="宋体" w:cs="宋体"/>
          <w:sz w:val="24"/>
          <w:szCs w:val="24"/>
        </w:rPr>
        <w:t>] 李丽钦.试论企业并购中财务分析及作用[J].财经界,2023(26):126-128.</w:t>
      </w:r>
      <w:bookmarkEnd w:id="118"/>
    </w:p>
    <w:p w14:paraId="1AC6A282">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19" w:name="_Ref17510"/>
      <w:r>
        <w:rPr>
          <w:rFonts w:hint="eastAsia" w:ascii="宋体" w:hAnsi="宋体" w:eastAsia="宋体" w:cs="宋体"/>
          <w:sz w:val="24"/>
          <w:szCs w:val="24"/>
        </w:rPr>
        <w:t>[</w:t>
      </w:r>
      <w:r>
        <w:rPr>
          <w:rFonts w:hint="eastAsia" w:ascii="宋体" w:hAnsi="宋体" w:eastAsia="宋体" w:cs="宋体"/>
          <w:sz w:val="24"/>
          <w:szCs w:val="24"/>
          <w:lang w:val="en-US" w:eastAsia="zh-CN"/>
        </w:rPr>
        <w:t>9</w:t>
      </w:r>
      <w:r>
        <w:rPr>
          <w:rFonts w:hint="eastAsia" w:ascii="宋体" w:hAnsi="宋体" w:eastAsia="宋体" w:cs="宋体"/>
          <w:sz w:val="24"/>
          <w:szCs w:val="24"/>
        </w:rPr>
        <w:t>] 姜仁雪. 好想你公司财务绩效评价及提升对策研究[D].大庆:东北石油大学,2023.</w:t>
      </w:r>
      <w:bookmarkEnd w:id="119"/>
      <w:r>
        <w:rPr>
          <w:rFonts w:hint="eastAsia" w:ascii="宋体" w:hAnsi="宋体" w:eastAsia="宋体" w:cs="宋体"/>
          <w:sz w:val="24"/>
          <w:szCs w:val="24"/>
        </w:rPr>
        <w:t>https://link.cnki.net/doi/10.26995/d.cnki.gdqsc.2023.000702doi:10.26995/d.cnki.gdqsc.2023.000702.</w:t>
      </w:r>
    </w:p>
    <w:p w14:paraId="639F1D72">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20" w:name="_Ref17553"/>
      <w:r>
        <w:rPr>
          <w:rFonts w:hint="eastAsia" w:ascii="宋体" w:hAnsi="宋体" w:eastAsia="宋体" w:cs="宋体"/>
          <w:sz w:val="24"/>
          <w:szCs w:val="24"/>
        </w:rPr>
        <w:t>[</w:t>
      </w:r>
      <w:r>
        <w:rPr>
          <w:rFonts w:hint="eastAsia" w:ascii="宋体" w:hAnsi="宋体" w:eastAsia="宋体" w:cs="宋体"/>
          <w:sz w:val="24"/>
          <w:szCs w:val="24"/>
          <w:lang w:val="en-US" w:eastAsia="zh-CN"/>
        </w:rPr>
        <w:t>10</w:t>
      </w:r>
      <w:r>
        <w:rPr>
          <w:rFonts w:hint="eastAsia" w:ascii="宋体" w:hAnsi="宋体" w:eastAsia="宋体" w:cs="宋体"/>
          <w:sz w:val="24"/>
          <w:szCs w:val="24"/>
        </w:rPr>
        <w:t>] 曹护林.企业跨国多元化并购——基于百事企业并购百草味案例分析[J].老字号品牌营销,2023,(10):94-96.</w:t>
      </w:r>
      <w:bookmarkEnd w:id="120"/>
    </w:p>
    <w:p w14:paraId="46854DCC">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bookmarkStart w:id="121" w:name="_Ref17608"/>
      <w:r>
        <w:rPr>
          <w:rFonts w:hint="eastAsia" w:ascii="宋体" w:hAnsi="宋体" w:eastAsia="宋体" w:cs="宋体"/>
          <w:sz w:val="24"/>
          <w:szCs w:val="24"/>
        </w:rPr>
        <w:t>[</w:t>
      </w:r>
      <w:r>
        <w:rPr>
          <w:rFonts w:hint="eastAsia" w:ascii="宋体" w:hAnsi="宋体" w:eastAsia="宋体" w:cs="宋体"/>
          <w:sz w:val="24"/>
          <w:szCs w:val="24"/>
          <w:lang w:val="en-US" w:eastAsia="zh-CN"/>
        </w:rPr>
        <w:t>11</w:t>
      </w:r>
      <w:r>
        <w:rPr>
          <w:rFonts w:hint="eastAsia" w:ascii="宋体" w:hAnsi="宋体" w:eastAsia="宋体" w:cs="宋体"/>
          <w:sz w:val="24"/>
          <w:szCs w:val="24"/>
        </w:rPr>
        <w:t>] 曹莹,张英明.互联网企业并购财务绩效及风险分析——以“好想你”并购“百草味”为例[J].生产力研究,2023(05):155-160.</w:t>
      </w:r>
      <w:bookmarkEnd w:id="121"/>
    </w:p>
    <w:p w14:paraId="4069541F">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eastAsia="宋体" w:cs="Times New Roman"/>
          <w:sz w:val="24"/>
          <w:szCs w:val="24"/>
        </w:rPr>
      </w:pPr>
      <w:bookmarkStart w:id="122" w:name="_Toc15533"/>
      <w:bookmarkStart w:id="123" w:name="_Toc10487"/>
      <w:r>
        <w:rPr>
          <w:rFonts w:hint="eastAsia" w:ascii="宋体" w:hAnsi="宋体" w:eastAsia="宋体" w:cs="宋体"/>
          <w:sz w:val="24"/>
          <w:szCs w:val="24"/>
        </w:rPr>
        <w:t>[</w:t>
      </w:r>
      <w:r>
        <w:rPr>
          <w:rFonts w:hint="eastAsia" w:ascii="宋体" w:hAnsi="宋体" w:eastAsia="宋体" w:cs="宋体"/>
          <w:sz w:val="24"/>
          <w:szCs w:val="24"/>
          <w:lang w:val="en-US" w:eastAsia="zh-CN"/>
        </w:rPr>
        <w:t>12</w:t>
      </w:r>
      <w:r>
        <w:rPr>
          <w:rFonts w:hint="eastAsia" w:ascii="宋体" w:hAnsi="宋体" w:eastAsia="宋体" w:cs="宋体"/>
          <w:sz w:val="24"/>
          <w:szCs w:val="24"/>
        </w:rPr>
        <w:t>]</w:t>
      </w:r>
      <w:r>
        <w:rPr>
          <w:rFonts w:hint="default" w:ascii="Times New Roman" w:hAnsi="Times New Roman" w:eastAsia="宋体" w:cs="Times New Roman"/>
          <w:sz w:val="24"/>
          <w:szCs w:val="24"/>
        </w:rPr>
        <w:t>Gupta I, Raman T V, Tripathy N. Impact of merger and acquisition on financial performance: Evidence from construction and real estate industry of India[J]. FIIB Business Review, 2023, 12(1): 74-84.</w:t>
      </w:r>
    </w:p>
    <w:p w14:paraId="737EDA0E">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eastAsia="宋体" w:cs="Times New Roman"/>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13</w:t>
      </w:r>
      <w:r>
        <w:rPr>
          <w:rFonts w:hint="eastAsia" w:ascii="宋体" w:hAnsi="宋体" w:eastAsia="宋体" w:cs="宋体"/>
          <w:sz w:val="24"/>
          <w:szCs w:val="24"/>
        </w:rPr>
        <w:t>]</w:t>
      </w:r>
      <w:r>
        <w:rPr>
          <w:rFonts w:hint="default" w:ascii="Times New Roman" w:hAnsi="Times New Roman" w:eastAsia="宋体" w:cs="Times New Roman"/>
          <w:sz w:val="24"/>
          <w:szCs w:val="24"/>
        </w:rPr>
        <w:t>Setiawan C A, Rosa T. The Analysis of The Effect of Return of Investment (ROI) on Stock Price and Financial Performance of a Company[J]. Journal of Accounting, Management, Economics, and Business (ANALYSIS), 2023, 1(1): 20-29.</w:t>
      </w:r>
    </w:p>
    <w:p w14:paraId="601219FA">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14</w:t>
      </w:r>
      <w:r>
        <w:rPr>
          <w:rFonts w:hint="eastAsia" w:ascii="宋体" w:hAnsi="宋体" w:eastAsia="宋体" w:cs="宋体"/>
          <w:sz w:val="24"/>
          <w:szCs w:val="24"/>
        </w:rPr>
        <w:t>]</w:t>
      </w:r>
      <w:r>
        <w:rPr>
          <w:rFonts w:hint="default" w:ascii="Times New Roman" w:hAnsi="Times New Roman" w:eastAsia="宋体" w:cs="Times New Roman"/>
          <w:sz w:val="24"/>
          <w:szCs w:val="24"/>
        </w:rPr>
        <w:t xml:space="preserve">Hajiyeva A.The Impact Of Mergers And Acquisitions On The Operational Performance Of Companies In Emerging Capital Markets[J]. Review of Socio-Economic Perspectives, 2020, 5 (6):27-31. </w:t>
      </w:r>
    </w:p>
    <w:p w14:paraId="12E70126">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5]</w:t>
      </w:r>
      <w:r>
        <w:rPr>
          <w:rFonts w:hint="default" w:ascii="Times New Roman" w:hAnsi="Times New Roman" w:eastAsia="宋体" w:cs="Times New Roman"/>
          <w:sz w:val="24"/>
          <w:szCs w:val="24"/>
        </w:rPr>
        <w:t>Akhtar Q, Nosheen S. The impact of fintech and banks M&amp;A on Acquirer's performance: A strategic win or loss?[J]. Borsa Istanbul Review, 2022, 22(6): 1195-1208.</w:t>
      </w:r>
    </w:p>
    <w:p w14:paraId="2292B711">
      <w:pPr>
        <w:keepNext w:val="0"/>
        <w:keepLines w:val="0"/>
        <w:pageBreakBefore w:val="0"/>
        <w:widowControl w:val="0"/>
        <w:kinsoku/>
        <w:wordWrap/>
        <w:overflowPunct/>
        <w:topLinePunct w:val="0"/>
        <w:autoSpaceDE/>
        <w:autoSpaceDN/>
        <w:bidi w:val="0"/>
        <w:adjustRightInd/>
        <w:snapToGrid/>
        <w:spacing w:line="320" w:lineRule="exact"/>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7A58BC33">
      <w:pPr>
        <w:tabs>
          <w:tab w:val="center" w:pos="4139"/>
          <w:tab w:val="left" w:pos="7545"/>
          <w:tab w:val="right" w:leader="middleDot" w:pos="7740"/>
        </w:tabs>
        <w:spacing w:before="312" w:beforeLines="100" w:after="312" w:afterLines="100"/>
        <w:jc w:val="center"/>
        <w:outlineLvl w:val="0"/>
        <w:rPr>
          <w:rFonts w:ascii="黑体" w:hAnsi="Times New Roman" w:eastAsia="黑体"/>
          <w:b/>
          <w:bCs/>
          <w:sz w:val="32"/>
          <w:szCs w:val="32"/>
        </w:rPr>
      </w:pPr>
      <w:bookmarkStart w:id="124" w:name="_Toc196321943"/>
      <w:bookmarkStart w:id="125" w:name="_Toc196465102"/>
      <w:r>
        <w:rPr>
          <w:rFonts w:ascii="黑体" w:hAnsi="Times New Roman" w:eastAsia="黑体"/>
          <w:b/>
          <w:bCs/>
          <w:sz w:val="32"/>
          <w:szCs w:val="32"/>
        </w:rPr>
        <w:t>致</w:t>
      </w:r>
      <w:r>
        <w:rPr>
          <w:rFonts w:hint="eastAsia" w:ascii="黑体" w:hAnsi="Times New Roman" w:eastAsia="黑体"/>
          <w:b/>
          <w:bCs/>
          <w:sz w:val="32"/>
          <w:szCs w:val="32"/>
        </w:rPr>
        <w:t xml:space="preserve"> </w:t>
      </w:r>
      <w:r>
        <w:rPr>
          <w:rFonts w:ascii="黑体" w:hAnsi="Times New Roman" w:eastAsia="黑体"/>
          <w:b/>
          <w:bCs/>
          <w:sz w:val="32"/>
          <w:szCs w:val="32"/>
        </w:rPr>
        <w:t xml:space="preserve"> 谢</w:t>
      </w:r>
      <w:bookmarkEnd w:id="122"/>
      <w:bookmarkEnd w:id="123"/>
      <w:bookmarkEnd w:id="124"/>
      <w:bookmarkEnd w:id="125"/>
    </w:p>
    <w:p w14:paraId="550251F9">
      <w:pPr>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在这篇论文的最后一页，我想用笔墨来表达我的感激之情，这不仅是我对这篇论文的总结，更是我对学生时代的一次深情告别。</w:t>
      </w:r>
    </w:p>
    <w:p w14:paraId="37292466">
      <w:pPr>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感谢我的论文指导老师给我足够的时间来完成论文，从论文的选题、开题、初稿到最后的定稿，每一步都离不开老师的悉心指导和宝贵建议。老师的专业素养和严谨态度让我受益匪浅。</w:t>
      </w:r>
    </w:p>
    <w:p w14:paraId="201AAC44">
      <w:pPr>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感恩我的父母，给予我无条件的爱与支持，无论是在我求学路上遇到困难时的鼓励，还是在我迷茫时的指引，都让我倍感温暖与力量。</w:t>
      </w:r>
    </w:p>
    <w:p w14:paraId="18872C3E">
      <w:pPr>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感谢伟大的祖国。生于华夏，见证百年，我深感自豪。国家的繁荣昌盛为我们这一代人提供了广阔的发展空间和机遇。</w:t>
      </w:r>
    </w:p>
    <w:p w14:paraId="4C99AB66">
      <w:pPr>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感谢自己。虽然成长的路途漫长且曲折，但我一直坚定地向前迈进。我学会了勇敢面对困难，学会了坚持不懈。正是因为这样的自己，我才能够走到今天这一步。</w:t>
      </w:r>
    </w:p>
    <w:p w14:paraId="1B257928">
      <w:pPr>
        <w:spacing w:line="40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往事暗沉不可追，来日之路光明灿烂。</w:t>
      </w:r>
    </w:p>
    <w:p w14:paraId="1B0F983B">
      <w:pPr>
        <w:pStyle w:val="5"/>
        <w:rPr>
          <w:rFonts w:hint="eastAsia" w:ascii="Times New Roman" w:eastAsia="宋体"/>
          <w:color w:val="000000" w:themeColor="text1"/>
          <w:sz w:val="24"/>
          <w:lang w:val="en-US" w:eastAsia="zh-CN"/>
          <w14:textFill>
            <w14:solidFill>
              <w14:schemeClr w14:val="tx1"/>
            </w14:solidFill>
          </w14:textFill>
        </w:rPr>
      </w:pPr>
      <w:r>
        <w:rPr>
          <w:rFonts w:hint="eastAsia" w:ascii="Times New Roman" w:eastAsia="宋体"/>
          <w:color w:val="000000" w:themeColor="text1"/>
          <w:sz w:val="24"/>
          <w:lang w:val="en-US" w:eastAsia="zh-CN"/>
          <w14:textFill>
            <w14:solidFill>
              <w14:schemeClr w14:val="tx1"/>
            </w14:solidFill>
          </w14:textFill>
        </w:rPr>
        <w:t xml:space="preserve">   </w:t>
      </w:r>
    </w:p>
    <w:p w14:paraId="22629332">
      <w:pPr>
        <w:pStyle w:val="5"/>
        <w:rPr>
          <w:rFonts w:hint="eastAsia" w:ascii="Times New Roman" w:eastAsia="宋体"/>
          <w:color w:val="000000" w:themeColor="text1"/>
          <w:sz w:val="24"/>
          <w:lang w:val="en-US" w:eastAsia="zh-CN"/>
          <w14:textFill>
            <w14:solidFill>
              <w14:schemeClr w14:val="tx1"/>
            </w14:solidFill>
          </w14:textFill>
        </w:rPr>
      </w:pPr>
    </w:p>
    <w:p w14:paraId="748189CE">
      <w:pPr>
        <w:pStyle w:val="5"/>
        <w:jc w:val="both"/>
        <w:rPr>
          <w:rFonts w:hint="eastAsia" w:ascii="Times New Roman" w:eastAsia="宋体"/>
          <w:color w:val="000000" w:themeColor="text1"/>
          <w:sz w:val="24"/>
          <w:lang w:val="en-US" w:eastAsia="zh-CN"/>
          <w14:textFill>
            <w14:solidFill>
              <w14:schemeClr w14:val="tx1"/>
            </w14:solidFill>
          </w14:textFill>
        </w:rPr>
      </w:pPr>
    </w:p>
    <w:p w14:paraId="4F139BB2">
      <w:pPr>
        <w:pStyle w:val="5"/>
        <w:rPr>
          <w:rFonts w:hint="eastAsia" w:ascii="Times New Roman" w:eastAsia="宋体"/>
          <w:color w:val="000000" w:themeColor="text1"/>
          <w:sz w:val="24"/>
          <w:lang w:val="en-US" w:eastAsia="zh-CN"/>
          <w14:textFill>
            <w14:solidFill>
              <w14:schemeClr w14:val="tx1"/>
            </w14:solidFill>
          </w14:textFill>
        </w:rPr>
      </w:pPr>
    </w:p>
    <w:p w14:paraId="78667ECD">
      <w:pPr>
        <w:pStyle w:val="5"/>
        <w:rPr>
          <w:rFonts w:ascii="Times New Roman" w:eastAsia="宋体"/>
          <w:color w:val="000000" w:themeColor="text1"/>
          <w:sz w:val="24"/>
          <w14:textFill>
            <w14:solidFill>
              <w14:schemeClr w14:val="tx1"/>
            </w14:solidFill>
          </w14:textFill>
        </w:rPr>
      </w:pPr>
      <w:r>
        <w:rPr>
          <w:rFonts w:hint="eastAsia" w:ascii="Times New Roman" w:eastAsia="宋体"/>
          <w:color w:val="000000" w:themeColor="text1"/>
          <w:sz w:val="24"/>
          <w:lang w:val="en-US" w:eastAsia="zh-CN"/>
          <w14:textFill>
            <w14:solidFill>
              <w14:schemeClr w14:val="tx1"/>
            </w14:solidFill>
          </w14:textFill>
        </w:rPr>
        <w:t xml:space="preserve">                                             </w:t>
      </w:r>
      <w:r>
        <w:rPr>
          <w:rFonts w:hint="eastAsia" w:ascii="Times New Roman" w:eastAsia="宋体"/>
          <w:color w:val="000000" w:themeColor="text1"/>
          <w:sz w:val="24"/>
          <w14:textFill>
            <w14:solidFill>
              <w14:schemeClr w14:val="tx1"/>
            </w14:solidFill>
          </w14:textFill>
        </w:rPr>
        <w:t xml:space="preserve"> 朱冰瑶</w:t>
      </w:r>
    </w:p>
    <w:p w14:paraId="71F1E9AF">
      <w:pPr>
        <w:pStyle w:val="5"/>
        <w:rPr>
          <w:rFonts w:ascii="Times New Roman" w:eastAsia="宋体"/>
          <w:color w:val="000000" w:themeColor="text1"/>
          <w:sz w:val="24"/>
          <w14:textFill>
            <w14:solidFill>
              <w14:schemeClr w14:val="tx1"/>
            </w14:solidFill>
          </w14:textFill>
        </w:rPr>
      </w:pPr>
      <w:r>
        <w:rPr>
          <w:rFonts w:hint="eastAsia" w:ascii="Times New Roman" w:eastAsia="宋体"/>
          <w:color w:val="000000" w:themeColor="text1"/>
          <w:sz w:val="24"/>
          <w14:textFill>
            <w14:solidFill>
              <w14:schemeClr w14:val="tx1"/>
            </w14:solidFill>
          </w14:textFill>
        </w:rPr>
        <w:t xml:space="preserve">                                               </w:t>
      </w:r>
      <w:r>
        <w:rPr>
          <w:rFonts w:hint="eastAsia" w:ascii="宋体" w:hAnsi="宋体" w:eastAsia="宋体" w:cs="宋体"/>
          <w:color w:val="000000" w:themeColor="text1"/>
          <w:sz w:val="24"/>
          <w14:textFill>
            <w14:solidFill>
              <w14:schemeClr w14:val="tx1"/>
            </w14:solidFill>
          </w14:textFill>
        </w:rPr>
        <w:t>2025年</w:t>
      </w:r>
      <w:r>
        <w:rPr>
          <w:rFonts w:ascii="宋体" w:hAnsi="宋体" w:eastAsia="宋体" w:cs="宋体"/>
          <w:color w:val="000000" w:themeColor="text1"/>
          <w:sz w:val="24"/>
          <w14:textFill>
            <w14:solidFill>
              <w14:schemeClr w14:val="tx1"/>
            </w14:solidFill>
          </w14:textFill>
        </w:rPr>
        <w:t xml:space="preserve"> </w:t>
      </w:r>
      <w:r>
        <w:rPr>
          <w:rFonts w:hint="eastAsia" w:ascii="宋体" w:hAnsi="宋体" w:eastAsia="宋体" w:cs="宋体"/>
          <w:color w:val="000000" w:themeColor="text1"/>
          <w:sz w:val="24"/>
          <w14:textFill>
            <w14:solidFill>
              <w14:schemeClr w14:val="tx1"/>
            </w14:solidFill>
          </w14:textFill>
        </w:rPr>
        <w:t>5月20日</w:t>
      </w:r>
    </w:p>
    <w:p w14:paraId="2D3F4B15">
      <w:pPr>
        <w:spacing w:line="400" w:lineRule="exact"/>
        <w:ind w:firstLine="480" w:firstLineChars="200"/>
        <w:rPr>
          <w:rFonts w:ascii="Times New Roman" w:hAnsi="Times New Roman"/>
          <w:sz w:val="24"/>
          <w:szCs w:val="24"/>
        </w:rPr>
      </w:pPr>
    </w:p>
    <w:p w14:paraId="23000CD6"/>
    <w:sectPr>
      <w:footerReference r:id="rId6" w:type="default"/>
      <w:pgSz w:w="11906" w:h="16838"/>
      <w:pgMar w:top="1418" w:right="1701" w:bottom="1418" w:left="1701" w:header="851" w:footer="1134"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冬青黑体简体中文">
    <w:panose1 w:val="020B0300000000000000"/>
    <w:charset w:val="86"/>
    <w:family w:val="auto"/>
    <w:pitch w:val="default"/>
    <w:sig w:usb0="A00002BF" w:usb1="1ACF7CFA" w:usb2="00000016" w:usb3="00000000" w:csb0="00060007" w:csb1="00000000"/>
  </w:font>
  <w:font w:name="方正仿宋_GBK">
    <w:panose1 w:val="02000000000000000000"/>
    <w:charset w:val="86"/>
    <w:family w:val="auto"/>
    <w:pitch w:val="default"/>
    <w:sig w:usb0="A00002BF" w:usb1="38CF7CFA" w:usb2="00082016" w:usb3="00000000" w:csb0="00040001" w:csb1="0000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Wide Latin">
    <w:altName w:val="苹方-简"/>
    <w:panose1 w:val="020A0A07050505020404"/>
    <w:charset w:val="00"/>
    <w:family w:val="roman"/>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urier New">
    <w:panose1 w:val="02070609020205090404"/>
    <w:charset w:val="00"/>
    <w:family w:val="auto"/>
    <w:pitch w:val="default"/>
    <w:sig w:usb0="E0000AFF" w:usb1="40007843" w:usb2="00000001" w:usb3="00000000" w:csb0="400001BF" w:csb1="DFF70000"/>
  </w:font>
  <w:font w:name="var(--dsw-font-markdown-h4)">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Songti SC Regular">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26209082"/>
    </w:sdtPr>
    <w:sdtContent>
      <w:p w14:paraId="798D8E60">
        <w:pPr>
          <w:pStyle w:val="8"/>
        </w:pPr>
        <w:r>
          <w:fldChar w:fldCharType="begin"/>
        </w:r>
        <w:r>
          <w:instrText xml:space="preserve">PAGE   \* MERGEFORMAT</w:instrText>
        </w:r>
        <w:r>
          <w:fldChar w:fldCharType="separate"/>
        </w:r>
        <w:r>
          <w:rPr>
            <w:lang w:val="zh-CN"/>
          </w:rP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2DA40E2D">
        <w:pPr>
          <w:pStyle w:val="8"/>
        </w:pPr>
        <w:r>
          <w:fldChar w:fldCharType="begin"/>
        </w:r>
        <w:r>
          <w:instrText xml:space="preserve">PAGE   \* MERGEFORMAT</w:instrText>
        </w:r>
        <w:r>
          <w:fldChar w:fldCharType="separate"/>
        </w:r>
        <w:r>
          <w:rPr>
            <w:lang w:val="zh-CN"/>
          </w:rPr>
          <w:t>ii</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5075814"/>
    </w:sdtPr>
    <w:sdtContent>
      <w:p w14:paraId="29D60B17">
        <w:pPr>
          <w:pStyle w:val="8"/>
        </w:pPr>
        <w:r>
          <w:fldChar w:fldCharType="begin"/>
        </w:r>
        <w:r>
          <w:instrText xml:space="preserve">PAGE   \* MERGEFORMAT</w:instrText>
        </w:r>
        <w:r>
          <w:fldChar w:fldCharType="separate"/>
        </w:r>
        <w:r>
          <w:rPr>
            <w:lang w:val="zh-CN"/>
          </w:rPr>
          <w:t>14</w:t>
        </w:r>
        <w:r>
          <w:fldChar w:fldCharType="end"/>
        </w:r>
      </w:p>
    </w:sdtContent>
  </w:sdt>
  <w:p w14:paraId="4793A8DB"/>
  <w:p w14:paraId="39AA1FF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11398">
    <w:pPr>
      <w:widowControl/>
      <w:pBdr>
        <w:bottom w:val="single" w:color="auto" w:sz="6" w:space="0"/>
      </w:pBdr>
      <w:tabs>
        <w:tab w:val="center" w:pos="4153"/>
        <w:tab w:val="right" w:pos="8306"/>
      </w:tabs>
      <w:snapToGrid w:val="0"/>
      <w:jc w:val="center"/>
      <w:rPr>
        <w:rFonts w:ascii="宋体" w:hAnsi="宋体"/>
        <w:szCs w:val="21"/>
      </w:rPr>
    </w:pPr>
    <w:r>
      <w:rPr>
        <w:rFonts w:hint="eastAsia" w:ascii="宋体" w:hAnsi="宋体"/>
        <w:szCs w:val="21"/>
      </w:rPr>
      <w:t>江西科技学院本科生毕业论文（设计）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BA046"/>
    <w:rsid w:val="3DF33EFC"/>
    <w:rsid w:val="737E86AE"/>
    <w:rsid w:val="7FEBA0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4">
    <w:name w:val="caption"/>
    <w:basedOn w:val="1"/>
    <w:next w:val="1"/>
    <w:qFormat/>
    <w:uiPriority w:val="0"/>
    <w:rPr>
      <w:rFonts w:ascii="等线 Light" w:hAnsi="等线 Light" w:eastAsia="黑体" w:cs="宋体"/>
      <w:sz w:val="20"/>
      <w:szCs w:val="20"/>
    </w:rPr>
  </w:style>
  <w:style w:type="paragraph" w:styleId="5">
    <w:name w:val="Body Text"/>
    <w:basedOn w:val="1"/>
    <w:qFormat/>
    <w:uiPriority w:val="0"/>
    <w:pPr>
      <w:spacing w:line="440" w:lineRule="exact"/>
      <w:ind w:right="-511"/>
      <w:jc w:val="center"/>
    </w:pPr>
    <w:rPr>
      <w:rFonts w:ascii="楷体_GB2312" w:hAnsi="Times New Roman" w:eastAsia="楷体_GB2312"/>
      <w:sz w:val="32"/>
    </w:rPr>
  </w:style>
  <w:style w:type="paragraph" w:styleId="6">
    <w:name w:val="toc 3"/>
    <w:basedOn w:val="1"/>
    <w:next w:val="1"/>
    <w:qFormat/>
    <w:uiPriority w:val="39"/>
    <w:pPr>
      <w:ind w:left="840" w:leftChars="400"/>
    </w:pPr>
  </w:style>
  <w:style w:type="paragraph" w:styleId="7">
    <w:name w:val="Date"/>
    <w:basedOn w:val="1"/>
    <w:next w:val="1"/>
    <w:qFormat/>
    <w:uiPriority w:val="0"/>
    <w:pPr>
      <w:ind w:left="100" w:leftChars="2500"/>
    </w:pPr>
    <w:rPr>
      <w:rFonts w:ascii="Times New Roman" w:hAnsi="Times New Roman"/>
      <w:sz w:val="24"/>
      <w:szCs w:val="24"/>
    </w:rPr>
  </w:style>
  <w:style w:type="paragraph" w:styleId="8">
    <w:name w:val="footer"/>
    <w:basedOn w:val="1"/>
    <w:qFormat/>
    <w:uiPriority w:val="99"/>
    <w:pPr>
      <w:tabs>
        <w:tab w:val="center" w:pos="4153"/>
        <w:tab w:val="right" w:pos="8306"/>
      </w:tabs>
      <w:snapToGrid w:val="0"/>
      <w:jc w:val="center"/>
    </w:pPr>
    <w:rPr>
      <w:rFonts w:ascii="Times New Roman" w:hAnsi="Times New Roman"/>
      <w:sz w:val="18"/>
    </w:rPr>
  </w:style>
  <w:style w:type="paragraph" w:styleId="9">
    <w:name w:val="toc 1"/>
    <w:basedOn w:val="1"/>
    <w:next w:val="1"/>
    <w:qFormat/>
    <w:uiPriority w:val="39"/>
  </w:style>
  <w:style w:type="paragraph" w:styleId="10">
    <w:name w:val="toc 2"/>
    <w:basedOn w:val="1"/>
    <w:next w:val="1"/>
    <w:qFormat/>
    <w:uiPriority w:val="39"/>
    <w:pPr>
      <w:ind w:left="420" w:leftChars="200"/>
    </w:pPr>
  </w:style>
  <w:style w:type="paragraph" w:styleId="11">
    <w:name w:val="Normal (Web)"/>
    <w:basedOn w:val="1"/>
    <w:uiPriority w:val="0"/>
    <w:rPr>
      <w:sz w:val="24"/>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unhideWhenUsed/>
    <w:qFormat/>
    <w:uiPriority w:val="99"/>
    <w:rPr>
      <w:color w:val="0026E5" w:themeColor="hyperlink"/>
      <w:u w:val="single"/>
      <w14:textFill>
        <w14:solidFill>
          <w14:schemeClr w14:val="hlink"/>
        </w14:solidFill>
      </w14:textFill>
    </w:rPr>
  </w:style>
  <w:style w:type="table" w:customStyle="1" w:styleId="17">
    <w:name w:val="浅色底纹 - 强调文字颜色 41"/>
    <w:basedOn w:val="12"/>
    <w:qFormat/>
    <w:uiPriority w:val="60"/>
    <w:rPr>
      <w:rFonts w:ascii="Calibri" w:hAnsi="Calibri"/>
      <w:color w:val="5F5F5F"/>
    </w:rPr>
    <w:tblPr>
      <w:tblBorders>
        <w:top w:val="single" w:color="808080" w:sz="8" w:space="0"/>
        <w:bottom w:val="single" w:color="808080" w:sz="8" w:space="0"/>
      </w:tblBorders>
      <w:tblCellMar>
        <w:top w:w="0" w:type="dxa"/>
        <w:left w:w="108" w:type="dxa"/>
        <w:bottom w:w="0" w:type="dxa"/>
        <w:right w:w="108" w:type="dxa"/>
      </w:tblCellMar>
    </w:tblPr>
    <w:tblStylePr w:type="firstRow">
      <w:pPr>
        <w:spacing w:before="0" w:beforeLines="0" w:beforeAutospacing="0" w:after="0" w:afterLines="0" w:afterAutospacing="0" w:line="240" w:lineRule="auto"/>
      </w:pPr>
      <w:rPr>
        <w:b/>
        <w:bCs/>
      </w:rPr>
      <w:tcPr>
        <w:tcBorders>
          <w:top w:val="single" w:color="808080" w:sz="8" w:space="0"/>
          <w:left w:val="nil"/>
          <w:bottom w:val="single" w:color="808080" w:sz="8" w:space="0"/>
          <w:right w:val="nil"/>
          <w:insideH w:val="nil"/>
          <w:insideV w:val="nil"/>
          <w:tl2br w:val="nil"/>
          <w:tr2bl w:val="nil"/>
        </w:tcBorders>
      </w:tcPr>
    </w:tblStylePr>
    <w:tblStylePr w:type="lastRow">
      <w:pPr>
        <w:spacing w:before="0" w:beforeLines="0" w:beforeAutospacing="0" w:after="0" w:afterLines="0" w:afterAutospacing="0" w:line="240" w:lineRule="auto"/>
      </w:pPr>
      <w:rPr>
        <w:b/>
        <w:bCs/>
      </w:rPr>
      <w:tcPr>
        <w:tcBorders>
          <w:top w:val="single" w:color="808080" w:sz="8" w:space="0"/>
          <w:left w:val="nil"/>
          <w:bottom w:val="single" w:color="80808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DFDFDF"/>
      </w:tcPr>
    </w:tblStylePr>
    <w:tblStylePr w:type="band1Horz">
      <w:tcPr>
        <w:tcBorders>
          <w:top w:val="nil"/>
          <w:left w:val="nil"/>
          <w:bottom w:val="nil"/>
          <w:right w:val="nil"/>
          <w:insideH w:val="nil"/>
          <w:insideV w:val="nil"/>
          <w:tl2br w:val="nil"/>
          <w:tr2bl w:val="nil"/>
        </w:tcBorders>
        <w:shd w:val="clear" w:color="auto" w:fill="DFDFD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2025-12-29T16:57:00Z</dcterms:created>
  <dc:creator>嘎嘎</dc:creator>
  <cp:lastModifiedBy>嘎嘎</cp:lastModifiedBy>
  <dcterms:modified xsi:type="dcterms:W3CDTF">2025-12-30T20:37:31Z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4BF99ECEB791AF1A8F4252693D20F719_41</vt:lpwstr>
  </property>
</Properties>
</file>