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10-dars. Reset turlari va masofaviy repozitoriylarga kirish</w:t>
      </w:r>
    </w:p>
    <w:p>
      <w:r>
        <w:t>O‘qituvchi bilan birga o‘rganamiz: sodda tushuntirish, rasmlar va amaliy qadamlar</w:t>
      </w:r>
    </w:p>
    <w:p>
      <w:r>
        <w:t>Rasmlardagi fayl yoki branch nomi boshqacha bo‘lishi mumkin. Biz quyidagi mashqda ko‘rsatilgan o‘z faylimiz va branchimiz nomini ishlatamiz. Buyruqni yozayotganda har bir harf va bo‘sh joyni tekshiramiz.</w:t>
      </w:r>
    </w:p>
    <w:p>
      <w:pPr>
        <w:pStyle w:val="Heading1"/>
      </w:pPr>
      <w:r>
        <w:t>1. Oldingi darsdagi ishni qisqa eslaymiz</w:t>
      </w:r>
    </w:p>
    <w:p>
      <w:r>
        <w:t>“Bolalar, oldingi safar soft resetdan keyin yozgan matnimiz qolgan edi. Bugun shu mavzuni yakunlaymiz: soft, mixed va hard bir xil emas. Keyin loyihani internetdagi repozitoriy bilan ishlashga tayyorlaymiz.”</w:t>
      </w:r>
    </w:p>
    <w:p>
      <w:r>
        <w:t>Bu darsdagi reset qismi oldingi mashqni takrorlab mustahkamlaydi. Har bir turini bir xil uch commitli boshlang‘ich holatdan alohida sinang; soft, mixed va hardni ketma-ket bitta tarixda HEAD~1 bilan takrorlash solishtirishni buzadi.</w:t>
      </w:r>
    </w:p>
    <w:p>
      <w:pPr>
        <w:pStyle w:val="Heading1"/>
      </w:pPr>
      <w:r>
        <w:t>2. Uch joy bo‘yicha taqqoslaymiz</w:t>
      </w:r>
    </w:p>
    <w:tbl>
      <w:tblPr>
        <w:tblStyle w:val="LightShading-Accent1"/>
        <w:tblW w:type="auto" w:w="0"/>
        <w:tblLook w:firstColumn="1" w:firstRow="1" w:lastColumn="0" w:lastRow="0" w:noHBand="0" w:noVBand="1" w:val="04A0"/>
      </w:tblPr>
      <w:tblGrid>
        <w:gridCol w:w="2455"/>
        <w:gridCol w:w="2455"/>
        <w:gridCol w:w="2455"/>
        <w:gridCol w:w="2455"/>
      </w:tblGrid>
      <w:tr>
        <w:tc>
          <w:tcPr>
            <w:tcW w:type="dxa" w:w="2455"/>
          </w:tcPr>
          <w:p>
            <w:r>
              <w:t>Tur</w:t>
            </w:r>
          </w:p>
        </w:tc>
        <w:tc>
          <w:tcPr>
            <w:tcW w:type="dxa" w:w="2455"/>
          </w:tcPr>
          <w:p>
            <w:r>
              <w:t>Branch ko‘rsatkichi</w:t>
            </w:r>
          </w:p>
        </w:tc>
        <w:tc>
          <w:tcPr>
            <w:tcW w:type="dxa" w:w="2455"/>
          </w:tcPr>
          <w:p>
            <w:r>
              <w:t>Stage</w:t>
            </w:r>
          </w:p>
        </w:tc>
        <w:tc>
          <w:tcPr>
            <w:tcW w:type="dxa" w:w="2455"/>
          </w:tcPr>
          <w:p>
            <w:r>
              <w:t>Ishchi fayllar</w:t>
            </w:r>
          </w:p>
        </w:tc>
      </w:tr>
      <w:tr>
        <w:tc>
          <w:tcPr>
            <w:tcW w:type="dxa" w:w="2455"/>
          </w:tcPr>
          <w:p>
            <w:r>
              <w:t>--soft</w:t>
            </w:r>
          </w:p>
        </w:tc>
        <w:tc>
          <w:tcPr>
            <w:tcW w:type="dxa" w:w="2455"/>
          </w:tcPr>
          <w:p>
            <w:r>
              <w:t>Tanlangan commitga ko‘chadi.</w:t>
            </w:r>
          </w:p>
        </w:tc>
        <w:tc>
          <w:tcPr>
            <w:tcW w:type="dxa" w:w="2455"/>
          </w:tcPr>
          <w:p>
            <w:r>
              <w:t>Avvalgi holatda qoladi.</w:t>
            </w:r>
          </w:p>
        </w:tc>
        <w:tc>
          <w:tcPr>
            <w:tcW w:type="dxa" w:w="2455"/>
          </w:tcPr>
          <w:p>
            <w:r>
              <w:t>Avvalgi holatda qoladi.</w:t>
            </w:r>
          </w:p>
        </w:tc>
      </w:tr>
      <w:tr>
        <w:tc>
          <w:tcPr>
            <w:tcW w:type="dxa" w:w="2455"/>
          </w:tcPr>
          <w:p>
            <w:r>
              <w:t>--mixed</w:t>
            </w:r>
          </w:p>
        </w:tc>
        <w:tc>
          <w:tcPr>
            <w:tcW w:type="dxa" w:w="2455"/>
          </w:tcPr>
          <w:p>
            <w:r>
              <w:t>Tanlangan commitga ko‘chadi.</w:t>
            </w:r>
          </w:p>
        </w:tc>
        <w:tc>
          <w:tcPr>
            <w:tcW w:type="dxa" w:w="2455"/>
          </w:tcPr>
          <w:p>
            <w:r>
              <w:t>Tanlangan commitga tenglashadi.</w:t>
            </w:r>
          </w:p>
        </w:tc>
        <w:tc>
          <w:tcPr>
            <w:tcW w:type="dxa" w:w="2455"/>
          </w:tcPr>
          <w:p>
            <w:r>
              <w:t>Yozgan matn qoladi.</w:t>
            </w:r>
          </w:p>
        </w:tc>
      </w:tr>
      <w:tr>
        <w:tc>
          <w:tcPr>
            <w:tcW w:type="dxa" w:w="2455"/>
          </w:tcPr>
          <w:p>
            <w:r>
              <w:t>--hard</w:t>
            </w:r>
          </w:p>
        </w:tc>
        <w:tc>
          <w:tcPr>
            <w:tcW w:type="dxa" w:w="2455"/>
          </w:tcPr>
          <w:p>
            <w:r>
              <w:t>Tanlangan commitga ko‘chadi.</w:t>
            </w:r>
          </w:p>
        </w:tc>
        <w:tc>
          <w:tcPr>
            <w:tcW w:type="dxa" w:w="2455"/>
          </w:tcPr>
          <w:p>
            <w:r>
              <w:t>Tanlangan commitga tenglashadi.</w:t>
            </w:r>
          </w:p>
        </w:tc>
        <w:tc>
          <w:tcPr>
            <w:tcW w:type="dxa" w:w="2455"/>
          </w:tcPr>
          <w:p>
            <w:r>
              <w:t>Kuzatiladigan fayllar o‘sha holatga qayta yoziladi.</w:t>
            </w:r>
          </w:p>
        </w:tc>
      </w:tr>
    </w:tbl>
    <w:p>
      <w:r>
        <w:t>“Bitta esda qoladigan gap: soft tayyorlab qo‘ygan ishni saqlaydi; mixed matnni qoldirib, tayyordan chiqaradi; hard esa kuzatiladigan fayllarni ham ortga qaytaradi.”</w:t>
      </w:r>
    </w:p>
    <w:p>
      <w:pPr>
        <w:pStyle w:val="Heading1"/>
      </w:pPr>
      <w:r>
        <w:t>3. Soft va mixedni xavfsiz solishtiramiz</w:t>
      </w:r>
    </w:p>
    <w:p>
      <w:r>
        <w:t>Faqat ulashilmagan o‘quv repozitoriysida ishlang. reja.txt da ketma-ket 1, 2, 3-qadam bo‘lsin va har qadam alohida commit qilingan bo‘lsin. Ishchi holat toza ekanini tekshiring. Avval:</w:t>
      </w:r>
    </w:p>
    <w:p>
      <w:pPr>
        <w:keepLines/>
      </w:pPr>
      <w:r>
        <w:rPr>
          <w:rFonts w:ascii="Consolas" w:hAnsi="Consolas"/>
          <w:sz w:val="21"/>
        </w:rPr>
        <w:t>git branch sinov-boshi</w:t>
        <w:br/>
        <w:t>git reset --soft HEAD~1</w:t>
        <w:br/>
        <w:t>git status</w:t>
        <w:br/>
        <w:t>git diff --cached</w:t>
      </w:r>
    </w:p>
    <w:p>
      <w:r>
        <w:t>Kutiladigan natija: uchinchi qadam faylda turadi va farqi stage ichida tayyor. Endi mazmunli izoh bilan qayta commit qiling. Status yana toza bo‘lsin. Bu oddiy uchinchi qadamni qayta commit qilganimiz uchun keyingi taqqoslash boshlanish holatiga mazmunan teng.</w:t>
      </w:r>
    </w:p>
    <w:p>
      <w:pPr>
        <w:keepLines/>
      </w:pPr>
      <w:r>
        <w:rPr>
          <w:rFonts w:ascii="Consolas" w:hAnsi="Consolas"/>
          <w:sz w:val="21"/>
        </w:rPr>
        <w:t>git commit -m "Uchinchi qadamni qayd qildim"</w:t>
        <w:br/>
        <w:t>git reset --mixed HEAD~1</w:t>
        <w:br/>
        <w:t>git status</w:t>
        <w:br/>
        <w:t>git diff</w:t>
      </w:r>
    </w:p>
    <w:p>
      <w:r>
        <w:t>“Keling, faylga qaraymiz: uchinchi qadam qoldi, ammo yangi o‘zgarish stage ichida tayyor emas. Mixedning farqi shu. --mixed ko‘rsatilmasa ham oddiy git reset COMMIT_ID uchun odatiy tur shu.”</w:t>
      </w:r>
    </w:p>
    <w:p>
      <w:pPr>
        <w:keepLines/>
      </w:pPr>
      <w:r>
        <w:rPr>
          <w:rFonts w:ascii="Consolas" w:hAnsi="Consolas"/>
          <w:sz w:val="21"/>
        </w:rPr>
        <w:t>git add reja.txt</w:t>
        <w:br/>
        <w:t>git commit -m "Uchinchi qadamni yana saqladim"</w:t>
      </w:r>
    </w:p>
    <w:p>
      <w:pPr>
        <w:pStyle w:val="Heading1"/>
      </w:pPr>
      <w:r>
        <w:t>4. Hard resetni faqat yo‘qotish mumkin bo‘lgan mashqda ko‘rsatamiz</w:t>
      </w:r>
    </w:p>
    <w:p>
      <w:r>
        <w:t>“Bu joyda to‘xtaymiz. Hard kuzatiladigan fayllarning commit qilinmagan o‘zgarishlarini olib tashlashi mumkin. Keyin hammasini Gitdan topib olaman deb o‘ylamang. Kerakli ishni oldindan alohida saqlang.”</w:t>
      </w:r>
    </w:p>
    <w:p>
      <w:r>
        <w:t>Yuqoridagi mashqdan keyin uch commitli toza holat borligini tekshiring. Qolishi kerak bo‘lgan ish yo‘q, deb aniq qaror qilganingizdan keyingina:</w:t>
      </w:r>
    </w:p>
    <w:p>
      <w:pPr>
        <w:keepLines/>
      </w:pPr>
      <w:r>
        <w:rPr>
          <w:rFonts w:ascii="Consolas" w:hAnsi="Consolas"/>
          <w:sz w:val="21"/>
        </w:rPr>
        <w:t>git status</w:t>
        <w:br/>
        <w:t>git reset --hard HEAD~1</w:t>
        <w:br/>
        <w:t>git status</w:t>
      </w:r>
    </w:p>
    <w:p>
      <w:pPr>
        <w:keepNext/>
      </w:pPr>
      <w:r>
        <w:drawing>
          <wp:inline xmlns:a="http://schemas.openxmlformats.org/drawingml/2006/main" xmlns:pic="http://schemas.openxmlformats.org/drawingml/2006/picture">
            <wp:extent cx="5532120" cy="1756229"/>
            <wp:docPr id="1" name="Picture 1"/>
            <wp:cNvGraphicFramePr>
              <a:graphicFrameLocks noChangeAspect="1"/>
            </wp:cNvGraphicFramePr>
            <a:graphic>
              <a:graphicData uri="http://schemas.openxmlformats.org/drawingml/2006/picture">
                <pic:pic>
                  <pic:nvPicPr>
                    <pic:cNvPr id="0" name="10_1.png"/>
                    <pic:cNvPicPr/>
                  </pic:nvPicPr>
                  <pic:blipFill>
                    <a:blip r:embed="rId9"/>
                    <a:stretch>
                      <a:fillRect/>
                    </a:stretch>
                  </pic:blipFill>
                  <pic:spPr>
                    <a:xfrm>
                      <a:off x="0" y="0"/>
                      <a:ext cx="5532120" cy="1756229"/>
                    </a:xfrm>
                    <a:prstGeom prst="rect"/>
                  </pic:spPr>
                </pic:pic>
              </a:graphicData>
            </a:graphic>
          </wp:inline>
        </w:drawing>
      </w:r>
    </w:p>
    <w:p>
      <w:pPr>
        <w:pStyle w:val="Caption"/>
      </w:pPr>
      <w:r>
        <w:t>1-rasm. --harddan keyin branch va kuzatiladigan ishchi holat qaytarilgan.</w:t>
      </w:r>
    </w:p>
    <w:p>
      <w:r>
        <w:t>Kutiladigan natija: reja.txt dagi uchinchi qadam ketgan. Hard untracked fayllarni umumiy tozalash vositasi emas; lekin nishondagi kuzatiladigan faylni yozishga to‘sqinlik qilgan ayrim kuzatilmayotgan yo‘llar ham yo‘qolishi mumkin. Uni “faqat commitni yechadi” deb ishlatmang.</w:t>
      </w:r>
    </w:p>
    <w:p>
      <w:pPr>
        <w:pStyle w:val="Heading1"/>
      </w:pPr>
      <w:r>
        <w:t>5. Endi loyiha faqat bizning kompyuterda qolmasin</w:t>
      </w:r>
    </w:p>
    <w:p>
      <w:r>
        <w:t>“Men uyda, siz auditoriyada ishlaysiz. Bitta kompyuterni navbat bilan kutamizmi? Yo‘q. Loyihani kelishilgan masofaviy repozitoriyda saqlab, o‘z nusxalarimiz bilan ishlaymiz.”</w:t>
      </w:r>
    </w:p>
    <w:p>
      <w:r>
        <w:t>Mahalliy repozitoriy — kompyuteringizdagi loyiha. Masofaviy repozitoriy — tarmoq orqali murojaat qilinadigan loyiha tarixi. GitHub, GitLab va Bitbucket Git bilan ishlashga yordam beradigan xizmatlar.</w:t>
      </w:r>
    </w:p>
    <w:p>
      <w:pPr>
        <w:keepNext/>
      </w:pPr>
      <w:r>
        <w:drawing>
          <wp:inline xmlns:a="http://schemas.openxmlformats.org/drawingml/2006/main" xmlns:pic="http://schemas.openxmlformats.org/drawingml/2006/picture">
            <wp:extent cx="5532120" cy="2675370"/>
            <wp:docPr id="2" name="Picture 2"/>
            <wp:cNvGraphicFramePr>
              <a:graphicFrameLocks noChangeAspect="1"/>
            </wp:cNvGraphicFramePr>
            <a:graphic>
              <a:graphicData uri="http://schemas.openxmlformats.org/drawingml/2006/picture">
                <pic:pic>
                  <pic:nvPicPr>
                    <pic:cNvPr id="0" name="10_2.png"/>
                    <pic:cNvPicPr/>
                  </pic:nvPicPr>
                  <pic:blipFill>
                    <a:blip r:embed="rId10"/>
                    <a:stretch>
                      <a:fillRect/>
                    </a:stretch>
                  </pic:blipFill>
                  <pic:spPr>
                    <a:xfrm>
                      <a:off x="0" y="0"/>
                      <a:ext cx="5532120" cy="2675370"/>
                    </a:xfrm>
                    <a:prstGeom prst="rect"/>
                  </pic:spPr>
                </pic:pic>
              </a:graphicData>
            </a:graphic>
          </wp:inline>
        </w:drawing>
      </w:r>
    </w:p>
    <w:p>
      <w:pPr>
        <w:pStyle w:val="Caption"/>
      </w:pPr>
      <w:r>
        <w:t>2-rasm. GitHub xizmatining bosh sahifasi.</w:t>
      </w:r>
    </w:p>
    <w:p>
      <w:r>
        <w:t>“Git va GitHubni yana ajratamiz. Git — tarixni boshqaradigan vosita. GitHub — shu tarixni joylashtirish va jamoa bilan ishlash xizmati. Git o‘rnatishning o‘zi akkaunt ochmaydi.”</w:t>
      </w:r>
    </w:p>
    <w:p>
      <w:pPr>
        <w:pStyle w:val="Heading1"/>
      </w:pPr>
      <w:r>
        <w:t>6. GitHubga kirish yoki hisob ochish</w:t>
      </w:r>
    </w:p>
    <w:p>
      <w:r>
        <w:t>Brauzerda https://github.com/ ni oching. Akkaunt bo‘lsa Sign in orqali kiring. Bo‘lmasa Sign up orqali saytdagi joriy bosqichlarni bajaring. Email tasdig‘i va qo‘shimcha tekshiruvlar talab qilinishi mumkin.</w:t>
      </w:r>
    </w:p>
    <w:p>
      <w:pPr>
        <w:keepNext/>
      </w:pPr>
      <w:r>
        <w:drawing>
          <wp:inline xmlns:a="http://schemas.openxmlformats.org/drawingml/2006/main" xmlns:pic="http://schemas.openxmlformats.org/drawingml/2006/picture">
            <wp:extent cx="5532120" cy="1649578"/>
            <wp:docPr id="3" name="Picture 3"/>
            <wp:cNvGraphicFramePr>
              <a:graphicFrameLocks noChangeAspect="1"/>
            </wp:cNvGraphicFramePr>
            <a:graphic>
              <a:graphicData uri="http://schemas.openxmlformats.org/drawingml/2006/picture">
                <pic:pic>
                  <pic:nvPicPr>
                    <pic:cNvPr id="0" name="10_3.png"/>
                    <pic:cNvPicPr/>
                  </pic:nvPicPr>
                  <pic:blipFill>
                    <a:blip r:embed="rId11"/>
                    <a:stretch>
                      <a:fillRect/>
                    </a:stretch>
                  </pic:blipFill>
                  <pic:spPr>
                    <a:xfrm>
                      <a:off x="0" y="0"/>
                      <a:ext cx="5532120" cy="1649578"/>
                    </a:xfrm>
                    <a:prstGeom prst="rect"/>
                  </pic:spPr>
                </pic:pic>
              </a:graphicData>
            </a:graphic>
          </wp:inline>
        </w:drawing>
      </w:r>
    </w:p>
    <w:p>
      <w:pPr>
        <w:pStyle w:val="Caption"/>
      </w:pPr>
      <w:r>
        <w:t>3-rasm. Hisob ochish oynasidagi email kiritish bosqichi.</w:t>
      </w:r>
    </w:p>
    <w:p>
      <w:r>
        <w:t>“Rasmdagi oynaning ko‘rinishi sizda farq qilishi mumkin. Muhimi, to‘g‘ri rasmiy manzil va o‘zingiz boshqaradigan hisob. Parol yoki tasdiq kodini guruhga jo‘natmaysiz. Darsga faqat akkauntga kira olganingiz kifoya.”</w:t>
      </w:r>
    </w:p>
    <w:p>
      <w:pPr>
        <w:pStyle w:val="Heading1"/>
      </w:pPr>
      <w:r>
        <w:t>7. Qanday ish oqimi paydo bo‘ladi?</w:t>
      </w:r>
    </w:p>
    <w:p>
      <w:r>
        <w:t>Avval kompyuterda yozamiz va commit qilamiz. Push bilan commitlarni masofaga yuboramiz. Pull orqali masofadagi yangilikni o‘zimizga olib birlashtiramiz. Clone esa mavjud repozitoriydan yangi ishchi nusxa yaratadi. Bularni keyingi darslarda alohida bajaramiz.</w:t>
      </w:r>
    </w:p>
    <w:p>
      <w:r>
        <w:rPr>
          <w:b/>
        </w:rPr>
        <w:t xml:space="preserve">Hard bilan mixedning eng muhim farqi? </w:t>
      </w:r>
      <w:r>
        <w:t>Javob: Hard ishchi kuzatiladigan fayllarni ham qayta yozadi, mixed esa matnni qoldiradi.</w:t>
      </w:r>
    </w:p>
    <w:p>
      <w:r>
        <w:rPr>
          <w:b/>
        </w:rPr>
        <w:t xml:space="preserve">Hisob ochish loyihani avtomatik yuklaydimi? </w:t>
      </w:r>
      <w:r>
        <w:t>Javob: Yo‘q. Repo yaratish va yuborish alohida qadamlar.</w:t>
      </w:r>
    </w:p>
    <w:p>
      <w:pPr>
        <w:pStyle w:val="Heading1"/>
      </w:pPr>
      <w:r>
        <w:t>8. Mustaqil mashq</w:t>
      </w:r>
    </w:p>
    <w:p>
      <w:r>
        <w:t>Soft, mixed, hard uchun “matn qoldimi?” va “stage ichida tayyormi?” degan ikki ustunli jadval to‘ldiring. So‘ng GitHub, GitLab, Bitbucketdan bittasining rasmiy sahifasini ko‘rib, mahalliy va masofaviy repozitoriy farqini ikki jumlada yozing. Keyingi dars uchun GitHub hisobingizga kira olishingizni tekshiring.</w:t>
      </w:r>
    </w:p>
    <w:sectPr w:rsidR="00FC693F" w:rsidRPr="0006063C" w:rsidSect="00034616">
      <w:footerReference w:type="default" r:id="rId12"/>
      <w:pgSz w:w="11909" w:h="16834"/>
      <w:pgMar w:top="936" w:right="1008"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Gitni birga o‘rganamiz • 10-dars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