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января,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End w:id="22"/>
    <w:bookmarkStart w:id="38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Рассмотри три случая ведения боевых действий: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2"/>
        </w:numPr>
        <w:pStyle w:val="Compact"/>
      </w:pPr>
      <w:r>
        <w:t xml:space="preserve">Боевые действия между партизанскими отрядами</w:t>
      </w:r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В первом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4"/>
    <w:bookmarkStart w:id="25" w:name="теоретический-материал-2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Во втором случае в борьбу добавляются партизанские отряды.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5"/>
    <w:bookmarkStart w:id="26" w:name="теоретический-материал-3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сделанных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6"/>
    <w:bookmarkStart w:id="27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27"/>
    <w:bookmarkStart w:id="32" w:name="X61e8eababa49b5a663bf4d3de13c494f5338386"/>
    <w:p>
      <w:pPr>
        <w:pStyle w:val="Heading2"/>
      </w:pPr>
      <w:r>
        <w:t xml:space="preserve">Случай 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1" w:name="fig:003"/>
      <w:r>
        <w:drawing>
          <wp:inline>
            <wp:extent cx="5334000" cy="3556000"/>
            <wp:effectExtent b="0" l="0" r="0" t="0"/>
            <wp:docPr descr="Figure 1: График численности для случая 1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График численности для случая 1</w:t>
      </w:r>
    </w:p>
    <w:bookmarkEnd w:id="32"/>
    <w:bookmarkStart w:id="37" w:name="Xd5ee0bf363473a5f5293442f73308ea064b710a"/>
    <w:p>
      <w:pPr>
        <w:pStyle w:val="Heading2"/>
      </w:pPr>
      <w:r>
        <w:t xml:space="preserve">Случай 2.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0.788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6" w:name="fig:004"/>
      <w:r>
        <w:drawing>
          <wp:inline>
            <wp:extent cx="5334000" cy="3556000"/>
            <wp:effectExtent b="0" l="0" r="0" t="0"/>
            <wp:docPr descr="Figure 2: График численности для случая 2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2: График численности для случая 2</w:t>
      </w:r>
    </w:p>
    <w:bookmarkEnd w:id="37"/>
    <w:bookmarkEnd w:id="38"/>
    <w:bookmarkStart w:id="40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39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боевых действий</dc:title>
  <dc:creator/>
  <dc:language>ru-RU</dc:language>
  <cp:keywords/>
  <dcterms:created xsi:type="dcterms:W3CDTF">2023-01-30T21:58:07Z</dcterms:created>
  <dcterms:modified xsi:type="dcterms:W3CDTF">2023-01-30T21:58:07Z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30 января, 2023,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