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End w:id="22"/>
    <w:bookmarkStart w:id="57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5"/>
    <w:bookmarkStart w:id="26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66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</w:p>
    <w:bookmarkEnd w:id="26"/>
    <w:bookmarkStart w:id="31" w:name="X748a1295165da28de17818c3696f8b13241fe86"/>
    <w:p>
      <w:pPr>
        <w:pStyle w:val="Heading2"/>
      </w:pPr>
      <w:r>
        <w:t xml:space="preserve">Случай 1. Колебания гармонического осциллятора без затуханий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6.6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30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28" name="Picture"/>
            <a:graphic>
              <a:graphicData uri="http://schemas.openxmlformats.org/drawingml/2006/picture">
                <pic:pic>
                  <pic:nvPicPr>
                    <pic:cNvPr descr="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График решения для случая 1</w:t>
      </w:r>
    </w:p>
    <w:bookmarkEnd w:id="31"/>
    <w:bookmarkStart w:id="36" w:name="X62a8384a6cac8dfdc2aa4dc126d06b0dcfaa669"/>
    <w:p>
      <w:pPr>
        <w:pStyle w:val="Heading2"/>
      </w:pPr>
      <w:r>
        <w:t xml:space="preserve">Случай 1. Колебания гармонического осциллятора без затуханий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6.6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35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Фазовый портрет для случая 1</w:t>
      </w:r>
    </w:p>
    <w:bookmarkEnd w:id="36"/>
    <w:bookmarkStart w:id="41" w:name="X950710481ec1a67cc82fa02682fefe7ffe02c48"/>
    <w:p>
      <w:pPr>
        <w:pStyle w:val="Heading2"/>
      </w:pPr>
      <w:r>
        <w:t xml:space="preserve">Случай 2. 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40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38" name="Picture"/>
            <a:graphic>
              <a:graphicData uri="http://schemas.openxmlformats.org/drawingml/2006/picture">
                <pic:pic>
                  <pic:nvPicPr>
                    <pic:cNvPr descr="image/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3: График решения для случая 2</w:t>
      </w:r>
    </w:p>
    <w:bookmarkEnd w:id="41"/>
    <w:bookmarkStart w:id="46" w:name="Xe225970d1544623f31372cf194694f342faa81d"/>
    <w:p>
      <w:pPr>
        <w:pStyle w:val="Heading2"/>
      </w:pPr>
      <w:r>
        <w:t xml:space="preserve">Случай 2. 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bookmarkStart w:id="45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43" name="Picture"/>
            <a:graphic>
              <a:graphicData uri="http://schemas.openxmlformats.org/drawingml/2006/picture">
                <pic:pic>
                  <pic:nvPicPr>
                    <pic:cNvPr descr="image/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4: Фазовый портрет для случая 2</w:t>
      </w:r>
    </w:p>
    <w:bookmarkEnd w:id="46"/>
    <w:bookmarkStart w:id="51" w:name="X4098cb8f7e7df4f630819655c5ca83249c9e18b"/>
    <w:p>
      <w:pPr>
        <w:pStyle w:val="Heading2"/>
      </w:pPr>
      <w:r>
        <w:t xml:space="preserve">Случай 3. 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cos</m:t>
          </m:r>
          <m:r>
            <m:t>6</m:t>
          </m:r>
          <m:r>
            <m:t>t</m:t>
          </m:r>
        </m:oMath>
      </m:oMathPara>
    </w:p>
    <w:p>
      <w:pPr>
        <w:pStyle w:val="CaptionedFigure"/>
      </w:pPr>
      <w:bookmarkStart w:id="50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5: График решения для случая 3</w:t>
      </w:r>
    </w:p>
    <w:bookmarkEnd w:id="51"/>
    <w:bookmarkStart w:id="56" w:name="X472177cf46d592c04cd754935741f2fd06988c0"/>
    <w:p>
      <w:pPr>
        <w:pStyle w:val="Heading2"/>
      </w:pPr>
      <w:r>
        <w:t xml:space="preserve">Случай 3. 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cos</m:t>
          </m:r>
          <m:r>
            <m:t>6</m:t>
          </m:r>
          <m:r>
            <m:t>t</m:t>
          </m:r>
        </m:oMath>
      </m:oMathPara>
    </w:p>
    <w:p>
      <w:pPr>
        <w:pStyle w:val="CaptionedFigure"/>
      </w:pPr>
      <w:bookmarkStart w:id="55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53" name="Picture"/>
            <a:graphic>
              <a:graphicData uri="http://schemas.openxmlformats.org/drawingml/2006/picture">
                <pic:pic>
                  <pic:nvPicPr>
                    <pic:cNvPr descr="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6: Фазовый портрет для случая 3</w:t>
      </w:r>
    </w:p>
    <w:bookmarkEnd w:id="56"/>
    <w:bookmarkEnd w:id="57"/>
    <w:bookmarkStart w:id="59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58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гармонических колебаний</dc:title>
  <dc:creator/>
  <dc:language>ru-RU</dc:language>
  <cp:keywords/>
  <dcterms:created xsi:type="dcterms:W3CDTF">2023-01-30T22:07:07Z</dcterms:created>
  <dcterms:modified xsi:type="dcterms:W3CDTF">2023-01-30T22:07:07Z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