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января,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-к-лабораторной-работе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End w:id="22"/>
    <w:bookmarkStart w:id="28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bookmarkEnd w:id="23"/>
    <w:bookmarkStart w:id="24" w:name="теоретический-материал-1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Функция спроса: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Уравнения динамики оборотных средств: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bookmarkEnd w:id="24"/>
    <w:bookmarkStart w:id="25" w:name="теоретический-материал-2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При заданном M уравнение описывает быстрое стремление цены к равновесному значению цены, которое устойчиво.</w:t>
      </w:r>
      <w:r>
        <w:t xml:space="preserve"> </w:t>
      </w: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bookmarkEnd w:id="25"/>
    <w:bookmarkStart w:id="26" w:name="теоретический-материал-3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Уравнения динамики оборотных средств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Стационарное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26"/>
    <w:bookmarkStart w:id="27" w:name="теоретический-материал-4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bookmarkEnd w:id="27"/>
    <w:bookmarkEnd w:id="28"/>
    <w:bookmarkStart w:id="43" w:name="условие-задачи"/>
    <w:p>
      <w:pPr>
        <w:pStyle w:val="Heading1"/>
      </w:pPr>
      <w:r>
        <w:t xml:space="preserve">Условие задачи</w:t>
      </w:r>
    </w:p>
    <w:bookmarkStart w:id="29" w:name="случай-1"/>
    <w:p>
      <w:pPr>
        <w:pStyle w:val="Heading2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Будем считать, что постоянные издержки пренебрежимо малы.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9"/>
    <w:bookmarkStart w:id="30" w:name="случай-2"/>
    <w:p>
      <w:pPr>
        <w:pStyle w:val="Heading2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используются еще и социально-психологические факторы.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30"/>
    <w:bookmarkStart w:id="31" w:name="данные"/>
    <w:p>
      <w:pPr>
        <w:pStyle w:val="Heading2"/>
      </w:pPr>
      <w:r>
        <w:t xml:space="preserve">Данные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bookmarkEnd w:id="31"/>
    <w:bookmarkStart w:id="32" w:name="данные-1"/>
    <w:p>
      <w:pPr>
        <w:pStyle w:val="Heading2"/>
      </w:pPr>
      <w:r>
        <w:t xml:space="preserve">Данные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8.6</m:t>
          </m:r>
        </m:oMath>
      </m:oMathPara>
    </w:p>
    <w:bookmarkEnd w:id="32"/>
    <w:bookmarkStart w:id="37" w:name="график-в-первом-случае"/>
    <w:p>
      <w:pPr>
        <w:pStyle w:val="Heading2"/>
      </w:pPr>
      <w:r>
        <w:t xml:space="preserve">График в первом случае</w:t>
      </w:r>
    </w:p>
    <w:p>
      <w:pPr>
        <w:pStyle w:val="CaptionedFigure"/>
      </w:pPr>
      <w:bookmarkStart w:id="36" w:name="fig:001"/>
      <w:r>
        <w:drawing>
          <wp:inline>
            <wp:extent cx="5334000" cy="2238722"/>
            <wp:effectExtent b="0" l="0" r="0" t="0"/>
            <wp:docPr descr="Figure 1: График для случая 1" title="" id="34" name="Picture"/>
            <a:graphic>
              <a:graphicData uri="http://schemas.openxmlformats.org/drawingml/2006/picture">
                <pic:pic>
                  <pic:nvPicPr>
                    <pic:cNvPr descr="image/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1: График для случая 1</w:t>
      </w:r>
    </w:p>
    <w:bookmarkEnd w:id="37"/>
    <w:bookmarkStart w:id="42" w:name="график-во-втором-случае"/>
    <w:p>
      <w:pPr>
        <w:pStyle w:val="Heading2"/>
      </w:pPr>
      <w:r>
        <w:t xml:space="preserve">График во втором случае</w:t>
      </w:r>
    </w:p>
    <w:p>
      <w:pPr>
        <w:pStyle w:val="CaptionedFigure"/>
      </w:pPr>
      <w:bookmarkStart w:id="41" w:name="fig:002"/>
      <w:r>
        <w:drawing>
          <wp:inline>
            <wp:extent cx="5334000" cy="2238722"/>
            <wp:effectExtent b="0" l="0" r="0" t="0"/>
            <wp:docPr descr="Figure 2: График для случая 2" title="" id="39" name="Picture"/>
            <a:graphic>
              <a:graphicData uri="http://schemas.openxmlformats.org/drawingml/2006/picture">
                <pic:pic>
                  <pic:nvPicPr>
                    <pic:cNvPr descr="image/0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2: График для случая 2</w:t>
      </w:r>
    </w:p>
    <w:bookmarkEnd w:id="42"/>
    <w:bookmarkEnd w:id="43"/>
    <w:bookmarkStart w:id="45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44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построены графики.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конкуренции двух фирм</dc:title>
  <dc:creator/>
  <dc:language>ru-RU</dc:language>
  <cp:keywords/>
  <dcterms:created xsi:type="dcterms:W3CDTF">2023-01-30T22:21:40Z</dcterms:created>
  <dcterms:modified xsi:type="dcterms:W3CDTF">2023-01-30T22:21:40Z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30 января, 2023,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