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Служебная записка на доступы к ресурсам</w:t>
      </w:r>
    </w:p>
    <w:p>
      <w:r>
        <w:t xml:space="preserve">Просим рассмотреть предоставление доступов сотруднику: Примеров Петр Петрович.</w:t>
      </w:r>
    </w:p>
    <w:p>
      <w:r>
        <w:t xml:space="preserve">Должность: Специалист документооборота. Подразделение: Офисная команда корпоративных систем.</w:t>
      </w:r>
    </w:p>
    <w:p>
      <w:r>
        <w:t xml:space="preserve">Документ является публичным шаблоном и не подтверждает фактическую выдачу доступов.</w:t>
      </w:r>
    </w:p>
    <w:p>
      <w:pPr>
        <w:pStyle w:val="Heading1"/>
      </w:pPr>
      <w:r>
        <w:t xml:space="preserve">Запрашиваемые ресурсы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t xml:space="preserve">Ресурс</w:t>
            </w:r>
          </w:p>
        </w:tc>
        <w:tc>
          <w:tcPr>
            <w:tcW w:w="2400" w:type="dxa"/>
          </w:tcPr>
          <w:p>
            <w:r>
              <w:t xml:space="preserve">Тип</w:t>
            </w:r>
          </w:p>
        </w:tc>
        <w:tc>
          <w:tcPr>
            <w:tcW w:w="2400" w:type="dxa"/>
          </w:tcPr>
          <w:p>
            <w:r>
              <w:t xml:space="preserve">Владелец</w:t>
            </w:r>
          </w:p>
        </w:tc>
        <w:tc>
          <w:tcPr>
            <w:tcW w:w="2400" w:type="dxa"/>
          </w:tcPr>
          <w:p>
            <w:r>
              <w:t xml:space="preserve">Статус</w:t>
            </w:r>
          </w:p>
        </w:tc>
      </w:tr>
      <w:tr>
        <w:tc>
          <w:tcPr>
            <w:tcW w:w="2400" w:type="dxa"/>
          </w:tcPr>
          <w:p>
            <w:r>
              <w:t xml:space="preserve">TEST-DOMAIN account</w:t>
            </w:r>
          </w:p>
        </w:tc>
        <w:tc>
          <w:tcPr>
            <w:tcW w:w="2400" w:type="dxa"/>
          </w:tcPr>
          <w:p>
            <w:r>
              <w:t xml:space="preserve">доменная учетная запись</w:t>
            </w:r>
          </w:p>
        </w:tc>
        <w:tc>
          <w:tcPr>
            <w:tcW w:w="2400" w:type="dxa"/>
          </w:tcPr>
          <w:p>
            <w:r>
              <w:t xml:space="preserve">IT Service Desk</w:t>
            </w:r>
          </w:p>
        </w:tc>
        <w:tc>
          <w:tcPr>
            <w:tcW w:w="2400" w:type="dxa"/>
          </w:tcPr>
          <w:p>
            <w:r>
              <w:t xml:space="preserve">требует согласования</w:t>
            </w:r>
          </w:p>
        </w:tc>
      </w:tr>
      <w:tr>
        <w:tc>
          <w:tcPr>
            <w:tcW w:w="2400" w:type="dxa"/>
          </w:tcPr>
          <w:p>
            <w:r>
              <w:t xml:space="preserve">TEST-WIKI</w:t>
            </w:r>
          </w:p>
        </w:tc>
        <w:tc>
          <w:tcPr>
            <w:tcW w:w="2400" w:type="dxa"/>
          </w:tcPr>
          <w:p>
            <w:r>
              <w:t xml:space="preserve">база знаний</w:t>
            </w:r>
          </w:p>
        </w:tc>
        <w:tc>
          <w:tcPr>
            <w:tcW w:w="2400" w:type="dxa"/>
          </w:tcPr>
          <w:p>
            <w:r>
              <w:t xml:space="preserve">PeopleOps</w:t>
            </w:r>
          </w:p>
        </w:tc>
        <w:tc>
          <w:tcPr>
            <w:tcW w:w="2400" w:type="dxa"/>
          </w:tcPr>
          <w:p>
            <w:r>
              <w:t xml:space="preserve">требует согласования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4"/>
    </w:rPr>
  </w:style>
  <w:style w:type="character" w:styleId="Hyperlink">
    <w:name w:val="Hyperlink"/>
    <w:rPr>
      <w:color w:val="0563C1"/>
      <w:u w:val="single"/>
    </w:rPr>
  </w:style>
</w:styles>
</file>