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включение в инвентаризационную ведомость</w:t>
      </w:r>
    </w:p>
    <w:p>
      <w:r>
        <w:t xml:space="preserve">Просим включить тестовое оборудование в инвентаризационную ведомость.</w:t>
      </w:r>
    </w:p>
    <w:p>
      <w:r>
        <w:t xml:space="preserve">Инвентарные номера и состав оборудования приведены как пример.</w:t>
      </w:r>
    </w:p>
    <w:p>
      <w:pPr>
        <w:pStyle w:val="Heading1"/>
      </w:pPr>
      <w:r>
        <w:t xml:space="preserve">Оборудование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Наименование</w:t>
            </w:r>
          </w:p>
        </w:tc>
        <w:tc>
          <w:tcPr>
            <w:tcW w:w="2400" w:type="dxa"/>
          </w:tcPr>
          <w:p>
            <w:r>
              <w:t xml:space="preserve">Инвентарный номер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Ноутбук тестовый</w:t>
            </w:r>
          </w:p>
        </w:tc>
        <w:tc>
          <w:tcPr>
            <w:tcW w:w="2400" w:type="dxa"/>
          </w:tcPr>
          <w:p>
            <w:r>
              <w:t xml:space="preserve">TEST-ASSET-001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  <w:tr>
        <w:tc>
          <w:tcPr>
            <w:tcW w:w="2400" w:type="dxa"/>
          </w:tcPr>
          <w:p>
            <w:r>
              <w:t xml:space="preserve">Монитор тестовый</w:t>
            </w:r>
          </w:p>
        </w:tc>
        <w:tc>
          <w:tcPr>
            <w:tcW w:w="2400" w:type="dxa"/>
          </w:tcPr>
          <w:p>
            <w:r>
              <w:t xml:space="preserve">TEST-ASSET-002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