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des matières</w:t>
          </w:r>
        </w:p>
        <w:p w:rsidR="00333946" w:rsidRDefault="009472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9146" w:history="1">
            <w:r w:rsidR="00333946" w:rsidRPr="004108FC">
              <w:rPr>
                <w:rStyle w:val="Lienhypertexte"/>
                <w:noProof/>
              </w:rPr>
              <w:t>Description du sujet</w:t>
            </w:r>
            <w:r w:rsidR="00333946">
              <w:rPr>
                <w:noProof/>
                <w:webHidden/>
              </w:rPr>
              <w:tab/>
            </w:r>
            <w:r w:rsidR="00333946">
              <w:rPr>
                <w:noProof/>
                <w:webHidden/>
              </w:rPr>
              <w:fldChar w:fldCharType="begin"/>
            </w:r>
            <w:r w:rsidR="00333946">
              <w:rPr>
                <w:noProof/>
                <w:webHidden/>
              </w:rPr>
              <w:instrText xml:space="preserve"> PAGEREF _Toc377479146 \h </w:instrText>
            </w:r>
            <w:r w:rsidR="00333946">
              <w:rPr>
                <w:noProof/>
                <w:webHidden/>
              </w:rPr>
            </w:r>
            <w:r w:rsidR="00333946">
              <w:rPr>
                <w:noProof/>
                <w:webHidden/>
              </w:rPr>
              <w:fldChar w:fldCharType="separate"/>
            </w:r>
            <w:r w:rsidR="00333946">
              <w:rPr>
                <w:noProof/>
                <w:webHidden/>
              </w:rPr>
              <w:t>2</w:t>
            </w:r>
            <w:r w:rsidR="00333946"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</w:p>
    <w:p w:rsidR="0015703E" w:rsidRDefault="0095553F" w:rsidP="0095553F">
      <w:pPr>
        <w:pStyle w:val="Titre1"/>
      </w:pPr>
      <w:bookmarkStart w:id="0" w:name="_Toc377479146"/>
      <w:r>
        <w:lastRenderedPageBreak/>
        <w:t>Description du sujet</w:t>
      </w:r>
      <w:bookmarkEnd w:id="0"/>
    </w:p>
    <w:p w:rsidR="00333946" w:rsidRDefault="00333946" w:rsidP="00333946"/>
    <w:p w:rsidR="00333946" w:rsidRDefault="00471548" w:rsidP="00471548">
      <w:pPr>
        <w:ind w:firstLine="708"/>
      </w:pPr>
      <w:r>
        <w:t xml:space="preserve">Le but de ce projet est de créer un algorithme automatique basé sur une descente de gradient et qui saurait dire si un chiffre </w:t>
      </w:r>
      <w:r w:rsidR="0075507D">
        <w:t>affiché d’une manière particulière est pair ou impaire.</w:t>
      </w:r>
    </w:p>
    <w:p w:rsidR="0075507D" w:rsidRDefault="0075507D" w:rsidP="00471548">
      <w:pPr>
        <w:ind w:firstLine="708"/>
      </w:pPr>
    </w:p>
    <w:p w:rsidR="0075507D" w:rsidRDefault="0075507D" w:rsidP="0075507D">
      <w:pPr>
        <w:pStyle w:val="Titre2"/>
        <w:numPr>
          <w:ilvl w:val="0"/>
          <w:numId w:val="1"/>
        </w:numPr>
      </w:pPr>
      <w:r>
        <w:t>Affichage des chiffres</w:t>
      </w:r>
    </w:p>
    <w:p w:rsidR="002424D7" w:rsidRDefault="002424D7" w:rsidP="002424D7"/>
    <w:p w:rsidR="002424D7" w:rsidRPr="002424D7" w:rsidRDefault="002424D7" w:rsidP="002424D7">
      <w:r>
        <w:t>Les chiffes sur lesquels nous allons travailler suivent un affichage et un</w:t>
      </w:r>
      <w:r w:rsidR="00CD4A8C">
        <w:t>e mise en forme bien particulière. Globalement, on peut dire que l’affichage des chiffres</w:t>
      </w:r>
      <w:r w:rsidR="008D13F6">
        <w:t xml:space="preserve"> que nous allons utiliser</w:t>
      </w:r>
      <w:r w:rsidR="00CD4A8C">
        <w:t xml:space="preserve"> suit l’affichage classique des  horloges numérique. Ce qui nous donne :</w:t>
      </w:r>
    </w:p>
    <w:p w:rsidR="0013773D" w:rsidRDefault="0013773D" w:rsidP="001377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EB08F9" w:rsidTr="00EB08F9"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</w:tr>
      <w:tr w:rsidR="0036086A" w:rsidTr="009614AB"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3773D" w:rsidRDefault="0013773D" w:rsidP="0013773D"/>
        </w:tc>
        <w:tc>
          <w:tcPr>
            <w:tcW w:w="47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773D" w:rsidRDefault="0013773D" w:rsidP="0013773D"/>
        </w:tc>
      </w:tr>
      <w:tr w:rsidR="008D13F6" w:rsidTr="009614AB">
        <w:tc>
          <w:tcPr>
            <w:tcW w:w="476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6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7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8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8D13F6" w:rsidRDefault="008D13F6" w:rsidP="0013773D"/>
        </w:tc>
        <w:tc>
          <w:tcPr>
            <w:tcW w:w="4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13F6" w:rsidRDefault="008D13F6" w:rsidP="0013773D">
            <w:r>
              <w:t>0</w:t>
            </w:r>
          </w:p>
        </w:tc>
      </w:tr>
    </w:tbl>
    <w:p w:rsidR="0013773D" w:rsidRDefault="0013773D" w:rsidP="0013773D"/>
    <w:p w:rsidR="008D13F6" w:rsidRDefault="00BE4DDE" w:rsidP="00BE4DDE">
      <w:r>
        <w:t>Nous pouvons donc dire que chaque chiffre est constitué de 7 segments qui sont "allumé" (ici en gras) ou non et qui définit le chiffre affiché.</w:t>
      </w:r>
      <w:r w:rsidR="006E4410">
        <w:t xml:space="preserve"> Chaque segment a été numéroté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76"/>
        <w:gridCol w:w="608"/>
      </w:tblGrid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bottom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1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6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7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2</w:t>
            </w:r>
          </w:p>
        </w:tc>
        <w:bookmarkStart w:id="1" w:name="_GoBack"/>
        <w:bookmarkEnd w:id="1"/>
      </w:tr>
      <w:tr w:rsidR="006E4410" w:rsidTr="006A0C3C">
        <w:trPr>
          <w:trHeight w:val="539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5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3</w:t>
            </w: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top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↑</w:t>
            </w:r>
            <w:r w:rsidR="00AA069D">
              <w:br/>
              <w:t>4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</w:tbl>
    <w:p w:rsidR="006E4410" w:rsidRPr="0013773D" w:rsidRDefault="006E4410" w:rsidP="00BE4DDE"/>
    <w:p w:rsidR="0075507D" w:rsidRDefault="0075507D" w:rsidP="0075507D"/>
    <w:p w:rsidR="0075507D" w:rsidRDefault="0075507D" w:rsidP="0075507D"/>
    <w:p w:rsidR="0075507D" w:rsidRPr="0075507D" w:rsidRDefault="0075507D" w:rsidP="0075507D">
      <w:pPr>
        <w:pStyle w:val="Titre2"/>
        <w:numPr>
          <w:ilvl w:val="0"/>
          <w:numId w:val="1"/>
        </w:numPr>
      </w:pPr>
      <w:r>
        <w:t>Algorithme demandé</w:t>
      </w:r>
    </w:p>
    <w:sectPr w:rsidR="0075507D" w:rsidRPr="0075507D" w:rsidSect="009472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187" w:rsidRDefault="000D7187" w:rsidP="003F59AF">
      <w:pPr>
        <w:spacing w:after="0" w:line="240" w:lineRule="auto"/>
      </w:pPr>
      <w:r>
        <w:separator/>
      </w:r>
    </w:p>
  </w:endnote>
  <w:endnote w:type="continuationSeparator" w:id="0">
    <w:p w:rsidR="000D7187" w:rsidRDefault="000D7187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D7DE7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A0C3C">
          <w:rPr>
            <w:noProof/>
          </w:rPr>
          <w:t>2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187" w:rsidRDefault="000D7187" w:rsidP="003F59AF">
      <w:pPr>
        <w:spacing w:after="0" w:line="240" w:lineRule="auto"/>
      </w:pPr>
      <w:r>
        <w:separator/>
      </w:r>
    </w:p>
  </w:footnote>
  <w:footnote w:type="continuationSeparator" w:id="0">
    <w:p w:rsidR="000D7187" w:rsidRDefault="000D7187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AE984F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5477E"/>
    <w:multiLevelType w:val="hybridMultilevel"/>
    <w:tmpl w:val="2700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0D7187"/>
    <w:rsid w:val="0013773D"/>
    <w:rsid w:val="002424D7"/>
    <w:rsid w:val="00333946"/>
    <w:rsid w:val="0036086A"/>
    <w:rsid w:val="003F59AF"/>
    <w:rsid w:val="00471548"/>
    <w:rsid w:val="00553C87"/>
    <w:rsid w:val="006A0C3C"/>
    <w:rsid w:val="006E4410"/>
    <w:rsid w:val="0075507D"/>
    <w:rsid w:val="007E4E65"/>
    <w:rsid w:val="007F70E2"/>
    <w:rsid w:val="00802673"/>
    <w:rsid w:val="008D13F6"/>
    <w:rsid w:val="0094725C"/>
    <w:rsid w:val="0095553F"/>
    <w:rsid w:val="009614AB"/>
    <w:rsid w:val="00A741B6"/>
    <w:rsid w:val="00AA069D"/>
    <w:rsid w:val="00AD63D6"/>
    <w:rsid w:val="00BE4DDE"/>
    <w:rsid w:val="00C93BD3"/>
    <w:rsid w:val="00CD4A8C"/>
    <w:rsid w:val="00EB08F9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1A78FA"/>
    <w:rsid w:val="003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041D0-411E-4801-9C7E-B0D8D87A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Perception, manipulation et Protection d’image</vt:lpstr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21</cp:revision>
  <dcterms:created xsi:type="dcterms:W3CDTF">2014-01-14T15:02:00Z</dcterms:created>
  <dcterms:modified xsi:type="dcterms:W3CDTF">2014-01-14T15:34:00Z</dcterms:modified>
</cp:coreProperties>
</file>