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bidi/>
        <w:jc w:val="both"/>
      </w:pPr>
      <w:r>
        <w:rPr>
          <w:rtl/>
        </w:rPr>
        <w:t xml:space="preserve">سجل التحسينات المستقبلية لقنديل</w:t>
      </w:r>
    </w:p>
    <w:p>
      <w:pPr>
        <w:pStyle w:val="Subtitle"/>
        <w:bidi/>
        <w:jc w:val="both"/>
      </w:pPr>
      <w:r>
        <w:rPr/>
        <w:t xml:space="preserve">QANDEEL — Future Improvements Log</w:t>
      </w:r>
    </w:p>
    <w:p>
      <w:pPr>
        <w:pStyle w:val="Heading1"/>
        <w:bidi/>
        <w:jc w:val="both"/>
      </w:pPr>
      <w:r>
        <w:rPr>
          <w:rtl/>
        </w:rPr>
        <w:t xml:space="preserve">تعليمات دائمة لهذا السجل</w:t>
      </w:r>
    </w:p>
    <w:tbl>
      <w:tblPr>
        <w:tblStyle w:val="QTable"/>
        <w:bidiVisual/>
        <w:tblW w:w="9026" w:type="dxa"/>
      </w:tblPr>
      <w:tblGrid>
        <w:gridCol w:w="600"/>
        <w:gridCol w:w="8426"/>
      </w:tblGrid>
      <w:tr>
        <w:tc>
          <w:tcPr>
            <w:tcW w:w="600" w:type="dxa"/>
            <w:shd w:val="clear" w:color="auto" w:fill="E8EEF4"/>
          </w:tcPr>
          <w:p>
            <w:pPr>
              <w:bidi/>
              <w:spacing w:after="0"/>
              <w:jc w:val="both"/>
            </w:pPr>
            <w:r>
              <w:rPr>
                <w:b/>
                <w:bCs/>
              </w:rPr>
              <w:t xml:space="preserve">1</w:t>
            </w:r>
          </w:p>
        </w:tc>
        <w:tc>
          <w:tcPr>
            <w:tcW w:w="8426" w:type="dxa"/>
          </w:tcPr>
          <w:p>
            <w:pPr>
              <w:bidi/>
              <w:spacing w:after="0"/>
              <w:jc w:val="both"/>
            </w:pPr>
            <w:r>
              <w:rPr>
                <w:rtl/>
              </w:rPr>
              <w:t xml:space="preserve">هذا الفولدر سيكون المرجع المركزي للتحسينات التي نؤجلها إلى الإصدارات القادمة.</w:t>
            </w:r>
          </w:p>
        </w:tc>
      </w:tr>
      <w:tr>
        <w:tc>
          <w:tcPr>
            <w:tcW w:w="600" w:type="dxa"/>
            <w:shd w:val="clear" w:color="auto" w:fill="E8EEF4"/>
          </w:tcPr>
          <w:p>
            <w:pPr>
              <w:bidi/>
              <w:spacing w:after="0"/>
              <w:jc w:val="both"/>
            </w:pPr>
            <w:r>
              <w:rPr>
                <w:b/>
                <w:bCs/>
              </w:rPr>
              <w:t xml:space="preserve">2</w:t>
            </w:r>
          </w:p>
        </w:tc>
        <w:tc>
          <w:tcPr>
            <w:tcW w:w="8426" w:type="dxa"/>
          </w:tcPr>
          <w:p>
            <w:pPr>
              <w:bidi/>
              <w:spacing w:after="0"/>
              <w:jc w:val="both"/>
            </w:pPr>
            <w:r>
              <w:rPr>
                <w:rtl/>
              </w:rPr>
              <w:t xml:space="preserve">المؤسس، بصفته صاحب قرار المنتج، يطلب إضافة نقاط محددة إلى هذا السجل.</w:t>
            </w:r>
          </w:p>
        </w:tc>
      </w:tr>
      <w:tr>
        <w:tc>
          <w:tcPr>
            <w:tcW w:w="600" w:type="dxa"/>
            <w:shd w:val="clear" w:color="auto" w:fill="E8EEF4"/>
          </w:tcPr>
          <w:p>
            <w:pPr>
              <w:bidi/>
              <w:spacing w:after="0"/>
              <w:jc w:val="both"/>
            </w:pPr>
            <w:r>
              <w:rPr>
                <w:b/>
                <w:bCs/>
              </w:rPr>
              <w:t xml:space="preserve">3</w:t>
            </w:r>
          </w:p>
        </w:tc>
        <w:tc>
          <w:tcPr>
            <w:tcW w:w="8426" w:type="dxa"/>
          </w:tcPr>
          <w:p>
            <w:pPr>
              <w:bidi/>
              <w:spacing w:after="0"/>
              <w:jc w:val="both"/>
            </w:pPr>
            <w:r>
              <w:rPr>
                <w:rtl/>
              </w:rPr>
              <w:t xml:space="preserve">كل إضافة تكون برقم تسلسلي، ووصف مختصر، وحالتها، وقرار المؤسس بشأنها.</w:t>
            </w:r>
          </w:p>
        </w:tc>
      </w:tr>
      <w:tr>
        <w:tc>
          <w:tcPr>
            <w:tcW w:w="600" w:type="dxa"/>
            <w:shd w:val="clear" w:color="auto" w:fill="E8EEF4"/>
          </w:tcPr>
          <w:p>
            <w:pPr>
              <w:bidi/>
              <w:spacing w:after="0"/>
              <w:jc w:val="both"/>
            </w:pPr>
            <w:r>
              <w:rPr>
                <w:b/>
                <w:bCs/>
              </w:rPr>
              <w:t xml:space="preserve">4</w:t>
            </w:r>
          </w:p>
        </w:tc>
        <w:tc>
          <w:tcPr>
            <w:tcW w:w="8426" w:type="dxa"/>
          </w:tcPr>
          <w:p>
            <w:pPr>
              <w:bidi/>
              <w:spacing w:after="0"/>
              <w:jc w:val="both"/>
            </w:pPr>
            <w:r>
              <w:rPr>
                <w:rtl/>
              </w:rPr>
              <w:t xml:space="preserve">تضاف البنود الجديدة إلى نفس ملف </w:t>
            </w:r>
            <w:r>
              <w:rPr/>
              <w:t xml:space="preserve">Word</w:t>
            </w:r>
            <w:r>
              <w:rPr>
                <w:rtl/>
              </w:rPr>
              <w:t xml:space="preserve">، مع الحفاظ على البنود السابقة.</w:t>
            </w:r>
          </w:p>
        </w:tc>
      </w:tr>
      <w:tr>
        <w:tc>
          <w:tcPr>
            <w:tcW w:w="600" w:type="dxa"/>
            <w:shd w:val="clear" w:color="auto" w:fill="E8EEF4"/>
          </w:tcPr>
          <w:p>
            <w:pPr>
              <w:bidi/>
              <w:spacing w:after="0"/>
              <w:jc w:val="both"/>
            </w:pPr>
            <w:r>
              <w:rPr>
                <w:b/>
                <w:bCs/>
              </w:rPr>
              <w:t xml:space="preserve">5</w:t>
            </w:r>
          </w:p>
        </w:tc>
        <w:tc>
          <w:tcPr>
            <w:tcW w:w="8426" w:type="dxa"/>
          </w:tcPr>
          <w:p>
            <w:pPr>
              <w:bidi/>
              <w:spacing w:after="0"/>
              <w:jc w:val="both"/>
            </w:pPr>
            <w:r>
              <w:rPr>
                <w:rtl/>
              </w:rPr>
              <w:t xml:space="preserve">مجرد تسجيل تحسين لا يعني السماح بتنفيذه، ولا يجعله شرطًا لإغلاق أي مرحلة.</w:t>
            </w:r>
          </w:p>
        </w:tc>
      </w:tr>
    </w:tbl>
    <w:p>
      <w:pPr>
        <w:pStyle w:val="Heading1"/>
        <w:bidi/>
        <w:jc w:val="both"/>
      </w:pPr>
      <w:r>
        <w:rPr>
          <w:rtl/>
        </w:rPr>
        <w:t xml:space="preserve">البنود</w:t>
      </w:r>
    </w:p>
    <w:p>
      <w:pPr>
        <w:pStyle w:val="Heading2"/>
        <w:bidi/>
        <w:jc w:val="both"/>
      </w:pPr>
      <w:r>
        <w:rPr>
          <w:rtl/>
        </w:rPr>
        <w:t xml:space="preserve">التحسين </w:t>
      </w:r>
      <w:r>
        <w:rPr/>
        <w:t xml:space="preserve">001</w:t>
      </w:r>
      <w:r>
        <w:rPr>
          <w:rtl/>
        </w:rPr>
        <w:t xml:space="preserve"> — الالتزام بتفضيلات المستخدم</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مؤجل لما بعد الإطلاق — غير مانع لإغلاق مرحلة تقييم الشخصية.</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S8A-02 / CP3 — DeepSeek Round 9</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2026-10-22</w:t>
            </w:r>
          </w:p>
        </w:tc>
      </w:tr>
    </w:tbl>
    <w:p>
      <w:pPr>
        <w:pStyle w:val="Heading3"/>
        <w:bidi/>
        <w:jc w:val="both"/>
      </w:pPr>
      <w:r>
        <w:rPr>
          <w:rtl/>
        </w:rPr>
        <w:t xml:space="preserve">وصف مختصر</w:t>
      </w:r>
    </w:p>
    <w:p>
      <w:pPr>
        <w:bidi/>
        <w:jc w:val="both"/>
      </w:pPr>
      <w:r>
        <w:rPr>
          <w:rtl/>
        </w:rPr>
        <w:t xml:space="preserve">قنديل يحفظ تفضيلات المستخدم، لكن اختبارات الجولة التاسعة أظهرت أن الالتزام بها غير ثابت أحيانًا، خصوصًا عند اختلاف لغة السؤال عن اللغة المفضلة، أو طلب إجابات مختصرة أو شرح أبسط. ظهرت أيضًا حالات محدودة في اللهجات والفكاهة.</w:t>
      </w:r>
    </w:p>
    <w:p>
      <w:pPr>
        <w:pStyle w:val="Heading3"/>
        <w:bidi/>
        <w:jc w:val="both"/>
      </w:pPr>
      <w:r>
        <w:rPr>
          <w:rtl/>
        </w:rPr>
        <w:t xml:space="preserve">الأدلة الحالية</w:t>
      </w:r>
    </w:p>
    <w:p>
      <w:pPr>
        <w:bidi/>
        <w:jc w:val="both"/>
      </w:pPr>
      <w:r>
        <w:rPr>
          <w:rtl/>
        </w:rPr>
        <w:t xml:space="preserve">الجولة التاسعة: تفضيل الإنجليزية لم يُحترم في بعض السيناريوهات (</w:t>
      </w:r>
      <w:r>
        <w:rPr/>
        <w:t xml:space="preserve">0</w:t>
      </w:r>
      <w:r>
        <w:rPr>
          <w:rtl/>
        </w:rPr>
        <w:t xml:space="preserve"> من </w:t>
      </w:r>
      <w:r>
        <w:rPr/>
        <w:t xml:space="preserve">3</w:t>
      </w:r>
      <w:r>
        <w:rPr>
          <w:rtl/>
        </w:rPr>
        <w:t xml:space="preserve">)، والاختصار الدائم حقق </w:t>
      </w:r>
      <w:r>
        <w:rPr/>
        <w:t xml:space="preserve">2</w:t>
      </w:r>
      <w:r>
        <w:rPr>
          <w:rtl/>
        </w:rPr>
        <w:t xml:space="preserve"> من </w:t>
      </w:r>
      <w:r>
        <w:rPr/>
        <w:t xml:space="preserve">9</w:t>
      </w:r>
      <w:r>
        <w:rPr>
          <w:rtl/>
        </w:rPr>
        <w:t xml:space="preserve">، مع تفاوت في أسلوب الشرح. في المقابل، نجح تسليم الردود الـ</w:t>
      </w:r>
      <w:r>
        <w:rPr/>
        <w:t xml:space="preserve">132</w:t>
      </w:r>
      <w:r>
        <w:rPr>
          <w:rtl/>
        </w:rPr>
        <w:t xml:space="preserve"> كلها دون فشل تشغيل أو علامة حرجة.</w:t>
      </w:r>
    </w:p>
    <w:p>
      <w:pPr>
        <w:pStyle w:val="Heading3"/>
        <w:bidi/>
        <w:jc w:val="both"/>
      </w:pPr>
      <w:r>
        <w:rPr>
          <w:rtl/>
        </w:rPr>
        <w:t xml:space="preserve">قرار المؤسس</w:t>
      </w:r>
    </w:p>
    <w:p>
      <w:pPr>
        <w:bidi/>
        <w:jc w:val="both"/>
      </w:pPr>
      <w:r>
        <w:rPr>
          <w:rtl/>
        </w:rPr>
        <w:t xml:space="preserve">لا تتطلب هذه الملاحظات تصحيحًا قبل إغلاق المرحلة. تُسجل للتحسين في النسخ التالية بعد الإطلاق، مع الحفاظ على أسلوب قنديل الطبيعي وعدم تحويل التقييم إلى سعي للكمال.</w:t>
      </w:r>
    </w:p>
    <w:p>
      <w:pPr>
        <w:pStyle w:val="Heading3"/>
        <w:bidi/>
        <w:jc w:val="both"/>
      </w:pPr>
      <w:r>
        <w:rPr>
          <w:rtl/>
        </w:rPr>
        <w:t xml:space="preserve">ما نراجعه لاحقًا</w:t>
      </w:r>
    </w:p>
    <w:p>
      <w:pPr>
        <w:bidi/>
        <w:jc w:val="both"/>
      </w:pPr>
      <w:r>
        <w:rPr>
          <w:rtl/>
        </w:rPr>
        <w:t xml:space="preserve">تحسين أولوية تفضيلات اللغة واللهجات، والاختصار، وأسلوب الشرح، والفكاهة عند تجهيز طلب النموذج؛ ثم اختبارها في حوارات متتابعة ومواقف متعارضة، دون إضافة قيود تُضعف جودة الحوار.</w:t>
      </w:r>
    </w:p>
    <w:p>
      <w:pPr>
        <w:pStyle w:val="Heading2"/>
        <w:bidi/>
        <w:jc w:val="both"/>
      </w:pPr>
      <w:r>
        <w:rPr>
          <w:rtl/>
        </w:rPr>
        <w:t xml:space="preserve">التحسين </w:t>
      </w:r>
      <w:r>
        <w:rPr/>
        <w:t xml:space="preserve">002</w:t>
      </w:r>
      <w:r>
        <w:rPr>
          <w:rtl/>
        </w:rPr>
        <w:t xml:space="preserve"> — دقة نسب الكلام لأصحابه في المحادثات الجماعية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تحسين مستقبلي غير مانع وغير مجدول — مقبول في النسخة الأولى، ولا يمنع الإطلاق</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S8A-02 / CP2 — DeepSeek Round 10</w:t>
            </w:r>
            <w:r>
              <w:rPr>
                <w:rtl/>
              </w:rPr>
              <w:t xml:space="preserve">، والربط الانتقائي </w:t>
            </w:r>
            <w:r>
              <w:rPr/>
              <w:t xml:space="preserve">S+R</w:t>
            </w:r>
            <w:r>
              <w:rPr>
                <w:rtl/>
              </w:rPr>
              <w:t xml:space="preserve"> على المستويين </w:t>
            </w:r>
            <w:r>
              <w:rPr/>
              <w:t xml:space="preserve">1</w:t>
            </w:r>
            <w:r>
              <w:rPr>
                <w:rtl/>
              </w:rPr>
              <w:t xml:space="preserve"> و</w:t>
            </w:r>
            <w:r>
              <w:rPr/>
              <w:t xml:space="preserve">2</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2026-10-23</w:t>
            </w:r>
          </w:p>
        </w:tc>
      </w:tr>
    </w:tbl>
    <w:p>
      <w:pPr>
        <w:pStyle w:val="Heading3"/>
        <w:bidi/>
        <w:jc w:val="both"/>
      </w:pPr>
      <w:r>
        <w:rPr>
          <w:rtl/>
        </w:rPr>
        <w:t xml:space="preserve">وصف مختصر</w:t>
      </w:r>
    </w:p>
    <w:p>
      <w:pPr>
        <w:bidi/>
        <w:jc w:val="both"/>
      </w:pPr>
      <w:r>
        <w:rPr>
          <w:rtl/>
        </w:rPr>
        <w:t xml:space="preserve">في المحادثات الجماعية يميّز قنديل من قال الكلام ممن نقله، بملاحظات يكتبها الخادم، وبقراءة إسناد على المستويين </w:t>
      </w:r>
      <w:r>
        <w:rPr/>
        <w:t xml:space="preserve">1</w:t>
      </w:r>
      <w:r>
        <w:rPr>
          <w:rtl/>
        </w:rPr>
        <w:t xml:space="preserve"> و</w:t>
      </w:r>
      <w:r>
        <w:rPr/>
        <w:t xml:space="preserve">2</w:t>
      </w:r>
      <w:r>
        <w:rPr>
          <w:rtl/>
        </w:rPr>
        <w:t xml:space="preserve"> من البوابة. الأخطاء أقل لكنها لم تختفِ: قد يُقدَّم كلام منقول كأن صاحبه قاله هنا، أو يُفهم نفي أو ضمير غامض خطأً. ولا تلتقط البوابة كل نقل يخلو من علامة واضحة.</w:t>
      </w:r>
    </w:p>
    <w:p>
      <w:pPr>
        <w:pStyle w:val="Heading3"/>
        <w:bidi/>
        <w:jc w:val="both"/>
      </w:pPr>
      <w:r>
        <w:rPr>
          <w:rtl/>
        </w:rPr>
        <w:t xml:space="preserve">الأدلة الحالية</w:t>
      </w:r>
    </w:p>
    <w:p>
      <w:pPr>
        <w:bidi/>
        <w:jc w:val="both"/>
      </w:pPr>
      <w:r>
        <w:rPr/>
        <w:t xml:space="preserve">Round 10</w:t>
      </w:r>
      <w:r>
        <w:rPr>
          <w:rtl/>
        </w:rPr>
        <w:t xml:space="preserve">، بتقييم آلي أعمى مبدئي، ولم تُجرَ المراجعة البشرية. معدل أخطاء الإسناد الحرجة على الحالات التي تلتقطها البوابة: </w:t>
      </w:r>
      <w:r>
        <w:rPr/>
        <w:t xml:space="preserve">24.3%</w:t>
      </w:r>
      <w:r>
        <w:rPr>
          <w:rtl/>
        </w:rPr>
        <w:t xml:space="preserve"> للمسار الحالي </w:t>
      </w:r>
      <w:r>
        <w:rPr/>
        <w:t xml:space="preserve">B</w:t>
      </w:r>
      <w:r>
        <w:rPr>
          <w:rtl/>
        </w:rPr>
        <w:t xml:space="preserve">، مقابل </w:t>
      </w:r>
      <w:r>
        <w:rPr/>
        <w:t xml:space="preserve">15.7%</w:t>
      </w:r>
      <w:r>
        <w:rPr>
          <w:rtl/>
        </w:rPr>
        <w:t xml:space="preserve"> لـ</w:t>
      </w:r>
      <w:r>
        <w:rPr/>
        <w:t xml:space="preserve">S</w:t>
      </w:r>
      <w:r>
        <w:rPr>
          <w:rtl/>
        </w:rPr>
        <w:t xml:space="preserve">، ثم </w:t>
      </w:r>
      <w:r>
        <w:rPr/>
        <w:t xml:space="preserve">10.2%</w:t>
      </w:r>
      <w:r>
        <w:rPr>
          <w:rtl/>
        </w:rPr>
        <w:t xml:space="preserve"> لـ</w:t>
      </w:r>
      <w:r>
        <w:rPr/>
        <w:t xml:space="preserve">S+R</w:t>
      </w:r>
      <w:r>
        <w:rPr>
          <w:rtl/>
        </w:rPr>
        <w:t xml:space="preserve">. المقارنتان لم تجتازا المعايير المسجلة مسبقًا. الخيار (ب) إعادة تحليل للبيانات نفسها حسب المستوى، والتوزيع الإنتاجي الجديد لم يُختبر كما هو. نتيجة </w:t>
      </w:r>
      <w:r>
        <w:rPr/>
        <w:t xml:space="preserve">Round 10</w:t>
      </w:r>
      <w:r>
        <w:rPr>
          <w:rtl/>
        </w:rPr>
        <w:t xml:space="preserve"> التاريخية تبقى كما هي.</w:t>
      </w:r>
    </w:p>
    <w:p>
      <w:pPr>
        <w:bidi/>
        <w:jc w:val="both"/>
      </w:pPr>
      <w:r>
        <w:rPr>
          <w:rtl/>
        </w:rPr>
        <w:t xml:space="preserve">حالات معروفة متبقية: </w:t>
      </w:r>
      <w:r>
        <w:rPr/>
        <w:t xml:space="preserve">IND-11</w:t>
      </w:r>
      <w:r>
        <w:rPr>
          <w:rtl/>
        </w:rPr>
        <w:t xml:space="preserve">، وقطبية نفي خاطئة تقبلها القراءة، وضمير غامض يُحسم بالتخمين، ونقل ظرف من شخص لآخر بلا علامة (</w:t>
      </w:r>
      <w:r>
        <w:rPr/>
        <w:t xml:space="preserve">T-04</w:t>
      </w:r>
      <w:r>
        <w:rPr>
          <w:rtl/>
        </w:rPr>
        <w:t xml:space="preserve">)، وتصحيحات خارج البوابة، ونصوص غير معتادة من </w:t>
      </w:r>
      <w:r>
        <w:rPr/>
        <w:t xml:space="preserve">DeepSeek</w:t>
      </w:r>
      <w:r>
        <w:rPr>
          <w:rtl/>
        </w:rPr>
        <w:t xml:space="preserve">.</w:t>
      </w:r>
    </w:p>
    <w:p>
      <w:pPr>
        <w:pStyle w:val="Heading3"/>
        <w:bidi/>
        <w:jc w:val="both"/>
      </w:pPr>
      <w:r>
        <w:rPr>
          <w:rtl/>
        </w:rPr>
        <w:t xml:space="preserve">قرار المؤسس</w:t>
      </w:r>
    </w:p>
    <w:p>
      <w:pPr>
        <w:bidi/>
        <w:jc w:val="both"/>
      </w:pPr>
      <w:r>
        <w:rPr>
          <w:rtl/>
        </w:rPr>
        <w:t xml:space="preserve">قبل المؤسس حدود الدقة المتبقية في النسخة الأولى، وتُسجَّل هنا بندًا واحدًا غير مانع وغير مجدول، لا يمنع الإطلاق. لا بحث جديد، ولا تغيير في مستويات البوابة، ولا بدائل الآن.</w:t>
      </w:r>
    </w:p>
    <w:p>
      <w:pPr>
        <w:pStyle w:val="Heading3"/>
        <w:bidi/>
        <w:jc w:val="both"/>
      </w:pPr>
      <w:r>
        <w:rPr>
          <w:rtl/>
        </w:rPr>
        <w:t xml:space="preserve">ما نراجعه لاحقًا</w:t>
      </w:r>
    </w:p>
    <w:p>
      <w:pPr>
        <w:bidi/>
        <w:jc w:val="both"/>
      </w:pPr>
      <w:r>
        <w:rPr>
          <w:rtl/>
        </w:rPr>
        <w:t xml:space="preserve">بعد الإطلاق: مراجعة الحالات المتبقية، والتغطية خارج البوابة، وزمن القراءة. ثم قياس التوزيع الإنتاجي نفسه قبل أي تعديل، مع الحفاظ على الأمان والخصوصية وسقف التكلفة.</w:t>
      </w:r>
    </w:p>
    <w:sectPr>
      <w:pgSz w:w="11906" w:h="16838"/>
      <w:pgMar w:top="1440" w:right="1440" w:bottom="1440" w:left="1440" w:header="708" w:footer="708" w:gutter="0"/>
      <w:bidi/>
    </w:sectPr>
  </w:body>
</w:document>
</file>

<file path=word/styles.xml><?xml version="1.0" encoding="utf-8"?>
<w:styles xmlns:w="http://schemas.openxmlformats.org/wordprocessingml/2006/main" xmlns:r="http://schemas.openxmlformats.org/officeDocument/2006/relationships">
  <w:docDefaults>
    <w:rPrDefault>
      <w:rPr>
        <w:rFonts w:ascii="Calibri" w:hAnsi="Calibri" w:cs="Arial"/>
        <w:sz w:val="24"/>
        <w:szCs w:val="24"/>
        <w:lang w:val="en-US" w:bidi="ar-EG"/>
      </w:rPr>
    </w:rPrDefault>
    <w:pPrDefault>
      <w:pPr>
        <w:bidi/>
        <w:spacing w:after="160" w:line="300" w:lineRule="auto"/>
      </w:pPr>
    </w:pPrDefault>
  </w:docDefaults>
  <w:style w:type="paragraph" w:default="1" w:styleId="Normal">
    <w:name w:val="Normal"/>
    <w:qFormat/>
    <w:pPr>
      <w:bidi/>
    </w:pPr>
    <w:rPr>
      <w:rFonts w:ascii="Calibri" w:hAnsi="Calibri" w:cs="Arial"/>
      <w:sz w:val="24"/>
      <w:szCs w:val="24"/>
      <w:lang w:val="en-US" w:bidi="ar-EG"/>
    </w:rPr>
  </w:style>
  <w:style w:type="paragraph" w:styleId="Title">
    <w:name w:val="Title"/>
    <w:basedOn w:val="Normal"/>
    <w:next w:val="Normal"/>
    <w:qFormat/>
    <w:pPr>
      <w:keepNext/>
      <w:bidi/>
      <w:spacing w:before="0" w:after="60"/>
    </w:pPr>
    <w:rPr>
      <w:rFonts w:ascii="Calibri" w:hAnsi="Calibri" w:cs="Arial"/>
      <w:b/>
      <w:bCs/>
      <w:color w:val="1F3864"/>
      <w:sz w:val="44"/>
      <w:szCs w:val="44"/>
      <w:lang w:val="en-US" w:bidi="ar-EG"/>
    </w:rPr>
  </w:style>
  <w:style w:type="paragraph" w:styleId="Subtitle">
    <w:name w:val="Subtitle"/>
    <w:basedOn w:val="Normal"/>
    <w:next w:val="Normal"/>
    <w:qFormat/>
    <w:pPr>
      <w:keepNext/>
      <w:pBdr>
        <w:bottom w:val="single" w:sz="8" w:space="8" w:color="1F3864"/>
      </w:pBdr>
      <w:bidi/>
      <w:spacing w:before="0" w:after="360"/>
    </w:pPr>
    <w:rPr>
      <w:rFonts w:ascii="Calibri" w:hAnsi="Calibri" w:cs="Arial"/>
      <w:color w:val="595959"/>
      <w:sz w:val="24"/>
      <w:szCs w:val="24"/>
      <w:lang w:val="en-US" w:bidi="ar-EG"/>
    </w:rPr>
  </w:style>
  <w:style w:type="paragraph" w:styleId="Heading1">
    <w:name w:val="heading 1"/>
    <w:basedOn w:val="Normal"/>
    <w:next w:val="Normal"/>
    <w:qFormat/>
    <w:pPr>
      <w:keepNext/>
      <w:bidi/>
      <w:spacing w:before="360" w:after="160"/>
      <w:outlineLvl w:val="0"/>
    </w:pPr>
    <w:rPr>
      <w:rFonts w:ascii="Calibri" w:hAnsi="Calibri" w:cs="Arial"/>
      <w:b/>
      <w:bCs/>
      <w:color w:val="1F3864"/>
      <w:sz w:val="32"/>
      <w:szCs w:val="32"/>
      <w:lang w:val="en-US" w:bidi="ar-EG"/>
    </w:rPr>
  </w:style>
  <w:style w:type="paragraph" w:styleId="Heading2">
    <w:name w:val="heading 2"/>
    <w:basedOn w:val="Normal"/>
    <w:next w:val="Normal"/>
    <w:qFormat/>
    <w:pPr>
      <w:keepNext/>
      <w:bidi/>
      <w:spacing w:before="240" w:after="160"/>
      <w:outlineLvl w:val="1"/>
    </w:pPr>
    <w:rPr>
      <w:rFonts w:ascii="Calibri" w:hAnsi="Calibri" w:cs="Arial"/>
      <w:b/>
      <w:bCs/>
      <w:color w:val="2E74B5"/>
      <w:sz w:val="28"/>
      <w:szCs w:val="28"/>
      <w:lang w:val="en-US" w:bidi="ar-EG"/>
    </w:rPr>
  </w:style>
  <w:style w:type="paragraph" w:styleId="Heading3">
    <w:name w:val="heading 3"/>
    <w:basedOn w:val="Normal"/>
    <w:next w:val="Normal"/>
    <w:qFormat/>
    <w:pPr>
      <w:keepNext/>
      <w:bidi/>
      <w:spacing w:before="200" w:after="80"/>
      <w:outlineLvl w:val="2"/>
    </w:pPr>
    <w:rPr>
      <w:rFonts w:ascii="Calibri" w:hAnsi="Calibri" w:cs="Arial"/>
      <w:b/>
      <w:bCs/>
      <w:color w:val="1F3864"/>
      <w:sz w:val="26"/>
      <w:szCs w:val="26"/>
      <w:lang w:val="en-US" w:bidi="ar-EG"/>
    </w:rPr>
  </w:style>
  <w:style w:type="table" w:styleId="QTable">
    <w:name w:val="Qandeel Table"/>
    <w:tblPr>
      <w:tblBorders>
        <w:top w:val="single" w:sz="4" w:space="0" w:color="A6B6C8"/>
        <w:left w:val="single" w:sz="4" w:space="0" w:color="A6B6C8"/>
        <w:bottom w:val="single" w:sz="4" w:space="0" w:color="A6B6C8"/>
        <w:right w:val="single" w:sz="4" w:space="0" w:color="A6B6C8"/>
        <w:insideH w:val="single" w:sz="4" w:space="0" w:color="A6B6C8"/>
        <w:insideV w:val="single" w:sz="4" w:space="0" w:color="A6B6C8"/>
      </w:tblBorders>
      <w:tblCellMar>
        <w:top w:w="80" w:type="dxa"/>
        <w:left w:w="120" w:type="dxa"/>
        <w:bottom w:w="80" w:type="dxa"/>
        <w:right w:w="12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سجل التحسينات المستقبلية لقنديل</dc:title>
  <dc:language>ar-EG</dc:language>
  <dcterms:created xsi:type="dcterms:W3CDTF">2026-10-22T00:00:00Z</dcterms:created>
</cp:coreProperties>
</file>