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60" w:before="0"/>
        <w:jc w:val="center"/>
      </w:pPr>
      <w:r>
        <w:rPr>
          <w:rFonts w:ascii="Arial" w:cs="Arial" w:eastAsia="Arial" w:hAnsi="Arial"/>
          <w:color w:val="888888"/>
          <w:sz w:val="20"/>
          <w:szCs w:val="20"/>
        </w:rPr>
        <w:t xml:space="preserve">SkillHub — Bloc 03</w:t>
      </w:r>
    </w:p>
    <w:p>
      <w:pPr>
        <w:spacing w:after="200" w:before="0"/>
        <w:jc w:val="center"/>
      </w:pPr>
      <w:r>
        <w:rPr>
          <w:rFonts w:ascii="Arial" w:cs="Arial" w:eastAsia="Arial" w:hAnsi="Arial"/>
          <w:color w:val="888888"/>
          <w:sz w:val="20"/>
          <w:szCs w:val="20"/>
        </w:rPr>
        <w:t xml:space="preserve">Cloud, DevOps &amp; Architecture</w:t>
      </w:r>
    </w:p>
    <w:p>
      <w:pPr>
        <w:pBdr>
          <w:bottom w:val="single" w:color="1F3864" w:sz="12" w:space="6"/>
        </w:pBdr>
        <w:spacing w:after="240" w:before="0"/>
        <w:jc w:val="center"/>
      </w:pPr>
      <w:r>
        <w:rPr>
          <w:rFonts w:ascii="Arial" w:cs="Arial" w:eastAsia="Arial" w:hAnsi="Arial"/>
          <w:b/>
          <w:bCs/>
          <w:color w:val="1F3864"/>
          <w:sz w:val="52"/>
          <w:szCs w:val="52"/>
        </w:rPr>
        <w:t xml:space="preserve">Analyse des Besoins</w:t>
      </w:r>
    </w:p>
    <w:p>
      <w:pPr>
        <w:spacing w:after="120" w:before="0"/>
        <w:jc w:val="center"/>
      </w:pPr>
      <w:r>
        <w:rPr>
          <w:rFonts w:ascii="Arial" w:cs="Arial" w:eastAsia="Arial" w:hAnsi="Arial"/>
          <w:color w:val="2C3E50"/>
          <w:sz w:val="24"/>
          <w:szCs w:val="24"/>
        </w:rPr>
        <w:t xml:space="preserve">Infrastructure — Section 1 du Rapport d'Audit Cloud</w:t>
      </w:r>
    </w:p>
    <w:p>
      <w:pPr>
        <w:spacing w:after="80" w:before="80"/>
      </w:pPr>
      <w:r>
        <w:t xml:space="preserve"/>
      </w:r>
    </w:p>
    <w:p>
      <w:pPr>
        <w:spacing w:after="80" w:before="80"/>
      </w:pPr>
      <w:r>
        <w:t xml:space="preserve"/>
      </w:r>
    </w:p>
    <w:p>
      <w:pPr>
        <w:spacing w:after="60" w:before="0"/>
        <w:jc w:val="center"/>
      </w:pPr>
      <w:r>
        <w:rPr>
          <w:rFonts w:ascii="Arial" w:cs="Arial" w:eastAsia="Arial" w:hAnsi="Arial"/>
          <w:color w:val="888888"/>
          <w:sz w:val="18"/>
          <w:szCs w:val="18"/>
        </w:rPr>
        <w:t xml:space="preserve">Reference : CDC-SKILLHUB-2026 — Bloc 03</w:t>
      </w:r>
    </w:p>
    <w:p>
      <w:pPr>
        <w:spacing w:after="60" w:before="0"/>
        <w:jc w:val="center"/>
      </w:pPr>
      <w:r>
        <w:rPr>
          <w:rFonts w:ascii="Arial" w:cs="Arial" w:eastAsia="Arial" w:hAnsi="Arial"/>
          <w:color w:val="888888"/>
          <w:sz w:val="18"/>
          <w:szCs w:val="18"/>
        </w:rPr>
        <w:t xml:space="preserve">Bachelor Concepteur Developpeur Web Full Stack — Promotion 2025/2026</w:t>
      </w:r>
    </w:p>
    <w:p>
      <w:pPr>
        <w:spacing w:after="60" w:before="0"/>
        <w:jc w:val="center"/>
      </w:pPr>
      <w:r>
        <w:rPr>
          <w:rFonts w:ascii="Arial" w:cs="Arial" w:eastAsia="Arial" w:hAnsi="Arial"/>
          <w:color w:val="888888"/>
          <w:sz w:val="18"/>
          <w:szCs w:val="18"/>
        </w:rPr>
        <w:t xml:space="preserve">Avril 2025</w:t>
      </w:r>
    </w:p>
    <w:p>
      <w:r>
        <w:br w:type="page"/>
      </w:r>
    </w:p>
    <w:p>
      <w:pPr>
        <w:pStyle w:val="Heading1"/>
        <w:pBdr>
          <w:bottom w:val="single" w:color="1F3864" w:sz="6" w:space="4"/>
        </w:pBdr>
        <w:spacing w:after="160" w:before="360"/>
      </w:pPr>
      <w:r>
        <w:rPr>
          <w:rFonts w:ascii="Arial" w:cs="Arial" w:eastAsia="Arial" w:hAnsi="Arial"/>
          <w:b/>
          <w:bCs/>
          <w:color w:val="1F3864"/>
          <w:sz w:val="28"/>
          <w:szCs w:val="28"/>
        </w:rPr>
        <w:t xml:space="preserve">1. Contexte</w:t>
      </w:r>
    </w:p>
    <w:p>
      <w:pPr>
        <w:spacing w:after="120" w:before="80"/>
        <w:jc w:val="both"/>
      </w:pPr>
      <w:r>
        <w:rPr>
          <w:rFonts w:ascii="Arial" w:cs="Arial" w:eastAsia="Arial" w:hAnsi="Arial"/>
          <w:color w:val="2C3E50"/>
          <w:sz w:val="20"/>
          <w:szCs w:val="20"/>
        </w:rPr>
        <w:t xml:space="preserve">SkillHub est une plateforme web collaborative de mise en relation entre formateurs et apprenants. Elle expose une API REST securisee par JWT, deux bases de donnees (PostgreSQL pour les donnees relationnelles, MongoDB pour les logs d'activite), et un front-end React servi par nginx. L'objectif de cette analyse est d'identifier avec precision les besoins d'infrastructure necessaires a la mise en production, en tenant compte des contraintes techniques, organisationnelles et reglementaires.</w:t>
      </w:r>
    </w:p>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28"/>
          <w:szCs w:val="28"/>
        </w:rPr>
        <w:t xml:space="preserve">2. Besoins Fonctionnels</w:t>
      </w:r>
    </w:p>
    <w:p>
      <w:pPr>
        <w:pStyle w:val="Heading2"/>
        <w:spacing w:after="120" w:before="280"/>
      </w:pPr>
      <w:r>
        <w:rPr>
          <w:rFonts w:ascii="Arial" w:cs="Arial" w:eastAsia="Arial" w:hAnsi="Arial"/>
          <w:b/>
          <w:bCs/>
          <w:color w:val="2C3E50"/>
          <w:sz w:val="24"/>
          <w:szCs w:val="24"/>
        </w:rPr>
        <w:t xml:space="preserve">2.1 API REST</w:t>
      </w:r>
    </w:p>
    <w:p>
      <w:pPr>
        <w:spacing w:after="120" w:before="80"/>
        <w:jc w:val="both"/>
      </w:pPr>
      <w:r>
        <w:rPr>
          <w:rFonts w:ascii="Arial" w:cs="Arial" w:eastAsia="Arial" w:hAnsi="Arial"/>
          <w:color w:val="2C3E50"/>
          <w:sz w:val="20"/>
          <w:szCs w:val="20"/>
        </w:rPr>
        <w:t xml:space="preserve">L'API constitue le coeur de la plateforme. Elle gere l'ensemble des echanges entre le front-end React et les bases de donnees : authentification des utilisateurs, gestion des formations, des modules, des inscriptions et des logs d'activite. Elle doit etre disponible en permanence et capable de traiter des requetes concurrentes sans degradation perceptible.</w:t>
      </w:r>
    </w:p>
    <w:p>
      <w:pPr>
        <w:spacing w:after="120" w:before="80"/>
        <w:jc w:val="both"/>
      </w:pPr>
      <w:r>
        <w:rPr>
          <w:rFonts w:ascii="Arial" w:cs="Arial" w:eastAsia="Arial" w:hAnsi="Arial"/>
          <w:color w:val="2C3E50"/>
          <w:sz w:val="20"/>
          <w:szCs w:val="20"/>
        </w:rPr>
        <w:t xml:space="preserve">L'infrastructure doit garantir que l'API est accessible via HTTPS sur le port 443, exposee derriere un reverse proxy (nginx), et isolee du reseau public sur ses ports internes.</w:t>
      </w:r>
    </w:p>
    <w:p>
      <w:pPr>
        <w:spacing w:after="80" w:before="80"/>
      </w:pPr>
      <w:r>
        <w:t xml:space="preserve"/>
      </w:r>
    </w:p>
    <w:p>
      <w:pPr>
        <w:pStyle w:val="Heading2"/>
        <w:spacing w:after="120" w:before="280"/>
      </w:pPr>
      <w:r>
        <w:rPr>
          <w:rFonts w:ascii="Arial" w:cs="Arial" w:eastAsia="Arial" w:hAnsi="Arial"/>
          <w:b/>
          <w:bCs/>
          <w:color w:val="2C3E50"/>
          <w:sz w:val="24"/>
          <w:szCs w:val="24"/>
        </w:rPr>
        <w:t xml:space="preserve">2.2 Base de donnees relationnelle — PostgreSQL</w:t>
      </w:r>
    </w:p>
    <w:p>
      <w:pPr>
        <w:spacing w:after="120" w:before="80"/>
        <w:jc w:val="both"/>
      </w:pPr>
      <w:r>
        <w:rPr>
          <w:rFonts w:ascii="Arial" w:cs="Arial" w:eastAsia="Arial" w:hAnsi="Arial"/>
          <w:color w:val="2C3E50"/>
          <w:sz w:val="20"/>
          <w:szCs w:val="20"/>
        </w:rPr>
        <w:t xml:space="preserve">PostgreSQL stocke l'ensemble des donnees metier structurees : comptes utilisateurs (apprenants et formateurs), formations, modules, inscriptions. Ces donnees sont critiques et ne doivent jamais etre perdues. L'infrastructure doit prevoir :</w:t>
      </w:r>
    </w:p>
    <w:p>
      <w:pPr>
        <w:pStyle w:val="ListParagraph"/>
        <w:numPr>
          <w:ilvl w:val="0"/>
          <w:numId w:val="2"/>
        </w:numPr>
        <w:spacing w:after="60" w:before="60"/>
      </w:pPr>
      <w:r>
        <w:rPr>
          <w:rFonts w:ascii="Arial" w:cs="Arial" w:eastAsia="Arial" w:hAnsi="Arial"/>
          <w:color w:val="2C3E50"/>
          <w:sz w:val="20"/>
          <w:szCs w:val="20"/>
        </w:rPr>
        <w:t xml:space="preserve">un volume de stockage persistant dedie</w:t>
      </w:r>
    </w:p>
    <w:p>
      <w:pPr>
        <w:pStyle w:val="ListParagraph"/>
        <w:numPr>
          <w:ilvl w:val="0"/>
          <w:numId w:val="2"/>
        </w:numPr>
        <w:spacing w:after="60" w:before="60"/>
      </w:pPr>
      <w:r>
        <w:rPr>
          <w:rFonts w:ascii="Arial" w:cs="Arial" w:eastAsia="Arial" w:hAnsi="Arial"/>
          <w:color w:val="2C3E50"/>
          <w:sz w:val="20"/>
          <w:szCs w:val="20"/>
        </w:rPr>
        <w:t xml:space="preserve">une politique de sauvegarde reguliere avec RPO et RTO definis</w:t>
      </w:r>
    </w:p>
    <w:p>
      <w:pPr>
        <w:pStyle w:val="ListParagraph"/>
        <w:numPr>
          <w:ilvl w:val="0"/>
          <w:numId w:val="2"/>
        </w:numPr>
        <w:spacing w:after="60" w:before="60"/>
      </w:pPr>
      <w:r>
        <w:rPr>
          <w:rFonts w:ascii="Arial" w:cs="Arial" w:eastAsia="Arial" w:hAnsi="Arial"/>
          <w:color w:val="2C3E50"/>
          <w:sz w:val="20"/>
          <w:szCs w:val="20"/>
        </w:rPr>
        <w:t xml:space="preserve">un acces exclusivement depuis le reseau interne Docker (port 5432 non expose publiquement)</w:t>
      </w:r>
    </w:p>
    <w:p>
      <w:pPr>
        <w:spacing w:after="120" w:before="80"/>
        <w:jc w:val="both"/>
      </w:pPr>
      <w:r>
        <w:rPr>
          <w:rFonts w:ascii="Arial" w:cs="Arial" w:eastAsia="Arial" w:hAnsi="Arial"/>
          <w:color w:val="2C3E50"/>
          <w:sz w:val="20"/>
          <w:szCs w:val="20"/>
        </w:rPr>
        <w:t xml:space="preserve">La plateforme est configuree avec PostgreSQL 15. La migration depuis SQLite (utilise en developpement local) est une action corrective identifiee dans l'audit de conformite.</w:t>
      </w:r>
    </w:p>
    <w:p>
      <w:pPr>
        <w:spacing w:after="80" w:before="80"/>
      </w:pPr>
      <w:r>
        <w:t xml:space="preserve"/>
      </w:r>
    </w:p>
    <w:p>
      <w:pPr>
        <w:pStyle w:val="Heading2"/>
        <w:spacing w:after="120" w:before="280"/>
      </w:pPr>
      <w:r>
        <w:rPr>
          <w:rFonts w:ascii="Arial" w:cs="Arial" w:eastAsia="Arial" w:hAnsi="Arial"/>
          <w:b/>
          <w:bCs/>
          <w:color w:val="2C3E50"/>
          <w:sz w:val="24"/>
          <w:szCs w:val="24"/>
        </w:rPr>
        <w:t xml:space="preserve">2.3 Base de donnees MongoDB</w:t>
      </w:r>
    </w:p>
    <w:p>
      <w:pPr>
        <w:spacing w:after="120" w:before="80"/>
        <w:jc w:val="both"/>
      </w:pPr>
      <w:r>
        <w:rPr>
          <w:rFonts w:ascii="Arial" w:cs="Arial" w:eastAsia="Arial" w:hAnsi="Arial"/>
          <w:color w:val="2C3E50"/>
          <w:sz w:val="20"/>
          <w:szCs w:val="20"/>
        </w:rPr>
        <w:t xml:space="preserve">MongoDB est utilise pour stocker les logs d'activite (activity_logs) generes par ActivityLogService. Ces donnees contribuent au monitoring applicatif et a l'audit utilisateur. L'infrastructure doit prevoir un volume persistant dedie et une politique de retention des donnees adaptee au volume d'activite.</w:t>
      </w:r>
    </w:p>
    <w:p>
      <w:pPr>
        <w:spacing w:after="80" w:before="80"/>
      </w:pPr>
      <w:r>
        <w:t xml:space="preserve"/>
      </w:r>
    </w:p>
    <w:p>
      <w:pPr>
        <w:pStyle w:val="Heading2"/>
        <w:spacing w:after="120" w:before="280"/>
      </w:pPr>
      <w:r>
        <w:rPr>
          <w:rFonts w:ascii="Arial" w:cs="Arial" w:eastAsia="Arial" w:hAnsi="Arial"/>
          <w:b/>
          <w:bCs/>
          <w:color w:val="2C3E50"/>
          <w:sz w:val="24"/>
          <w:szCs w:val="24"/>
        </w:rPr>
        <w:t xml:space="preserve">2.4 Authentification JWT</w:t>
      </w:r>
    </w:p>
    <w:p>
      <w:pPr>
        <w:spacing w:after="120" w:before="80"/>
        <w:jc w:val="both"/>
      </w:pPr>
      <w:r>
        <w:rPr>
          <w:rFonts w:ascii="Arial" w:cs="Arial" w:eastAsia="Arial" w:hAnsi="Arial"/>
          <w:color w:val="2C3E50"/>
          <w:sz w:val="20"/>
          <w:szCs w:val="20"/>
        </w:rPr>
        <w:t xml:space="preserve">L'API utilise un systeme d'authentification par tokens JWT. L'infrastructure doit garantir que le secret JWT (JWT_SECRET) n'est jamais expose en clair dans le depot ou dans les variables d'environnement non chiffrees. Ce secret doit etre gere via un gestionnaire de secrets (Vault, AWS Secrets Manager ou equivalent) en production.</w:t>
      </w:r>
    </w:p>
    <w:p>
      <w:pPr>
        <w:spacing w:after="80" w:before="80"/>
      </w:pPr>
      <w:r>
        <w:t xml:space="preserve"/>
      </w:r>
    </w:p>
    <w:p>
      <w:pPr>
        <w:pStyle w:val="Heading2"/>
        <w:spacing w:after="120" w:before="280"/>
      </w:pPr>
      <w:r>
        <w:rPr>
          <w:rFonts w:ascii="Arial" w:cs="Arial" w:eastAsia="Arial" w:hAnsi="Arial"/>
          <w:b/>
          <w:bCs/>
          <w:color w:val="2C3E50"/>
          <w:sz w:val="24"/>
          <w:szCs w:val="24"/>
        </w:rPr>
        <w:t xml:space="preserve">2.5 Stockage des ressources pedagogiques</w:t>
      </w:r>
    </w:p>
    <w:p>
      <w:pPr>
        <w:spacing w:after="120" w:before="80"/>
        <w:jc w:val="both"/>
      </w:pPr>
      <w:r>
        <w:rPr>
          <w:rFonts w:ascii="Arial" w:cs="Arial" w:eastAsia="Arial" w:hAnsi="Arial"/>
          <w:color w:val="2C3E50"/>
          <w:sz w:val="20"/>
          <w:szCs w:val="20"/>
        </w:rPr>
        <w:t xml:space="preserve">Les formateurs publient des contenus pedagogiques (fichiers, documents). L'infrastructure doit prevoir un service de stockage objet (OVH Object Storage, Amazon S3 ou equivalent) pour heberger ces ressources en dehors du systeme de fichiers du conteneur, afin de garantir leur persistance en cas de redemarrage.</w:t>
      </w:r>
    </w:p>
    <w:p>
      <w:pPr>
        <w:spacing w:after="80" w:before="80"/>
      </w:pPr>
      <w:r>
        <w:t xml:space="preserve"/>
      </w:r>
    </w:p>
    <w:p>
      <w:pPr>
        <w:pStyle w:val="Heading2"/>
        <w:spacing w:after="120" w:before="280"/>
      </w:pPr>
      <w:r>
        <w:rPr>
          <w:rFonts w:ascii="Arial" w:cs="Arial" w:eastAsia="Arial" w:hAnsi="Arial"/>
          <w:b/>
          <w:bCs/>
          <w:color w:val="2C3E50"/>
          <w:sz w:val="24"/>
          <w:szCs w:val="24"/>
        </w:rPr>
        <w:t xml:space="preserve">2.6 Logs d'activite et monitoring</w:t>
      </w:r>
    </w:p>
    <w:p>
      <w:pPr>
        <w:spacing w:after="120" w:before="80"/>
        <w:jc w:val="both"/>
      </w:pPr>
      <w:r>
        <w:rPr>
          <w:rFonts w:ascii="Arial" w:cs="Arial" w:eastAsia="Arial" w:hAnsi="Arial"/>
          <w:color w:val="2C3E50"/>
          <w:sz w:val="20"/>
          <w:szCs w:val="20"/>
        </w:rPr>
        <w:t xml:space="preserve">Les logs sont ecrits dans MongoDB via ActivityLogService. En production, un outil de monitoring centralise (Grafana, Datadog ou CloudWatch) devra agreger ces logs et les logs applicatifs pour permettre la detection d'anomalies et le suivi des performances.</w:t>
      </w:r>
    </w:p>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28"/>
          <w:szCs w:val="28"/>
        </w:rPr>
        <w:t xml:space="preserve">3. Besoins Non Fonctionnels</w:t>
      </w:r>
    </w:p>
    <w:p>
      <w:pPr>
        <w:pStyle w:val="Heading2"/>
        <w:spacing w:after="120" w:before="280"/>
      </w:pPr>
      <w:r>
        <w:rPr>
          <w:rFonts w:ascii="Arial" w:cs="Arial" w:eastAsia="Arial" w:hAnsi="Arial"/>
          <w:b/>
          <w:bCs/>
          <w:color w:val="2C3E50"/>
          <w:sz w:val="24"/>
          <w:szCs w:val="24"/>
        </w:rPr>
        <w:t xml:space="preserve">3.1 Disponibilite</w:t>
      </w:r>
    </w:p>
    <w:p>
      <w:pPr>
        <w:spacing w:after="120" w:before="80"/>
        <w:jc w:val="both"/>
      </w:pPr>
      <w:r>
        <w:rPr>
          <w:rFonts w:ascii="Arial" w:cs="Arial" w:eastAsia="Arial" w:hAnsi="Arial"/>
          <w:color w:val="2C3E50"/>
          <w:sz w:val="20"/>
          <w:szCs w:val="20"/>
        </w:rPr>
        <w:t xml:space="preserve">Le CDC impose une disponibilite minimale de 99,5 %, soit une tolerance d'environ 44 heures d'indisponibilite par an. Cela exclut un hebergement sur un seul serveur sans mecanisme de redemarrage automatique. L'infrastructure doit prevoir :</w:t>
      </w:r>
    </w:p>
    <w:p>
      <w:pPr>
        <w:pStyle w:val="ListParagraph"/>
        <w:numPr>
          <w:ilvl w:val="0"/>
          <w:numId w:val="2"/>
        </w:numPr>
        <w:spacing w:after="60" w:before="60"/>
      </w:pPr>
      <w:r>
        <w:rPr>
          <w:rFonts w:ascii="Arial" w:cs="Arial" w:eastAsia="Arial" w:hAnsi="Arial"/>
          <w:color w:val="2C3E50"/>
          <w:sz w:val="20"/>
          <w:szCs w:val="20"/>
        </w:rPr>
        <w:t xml:space="preserve">une politique de restart automatique (unless-stopped) sur tous les conteneurs</w:t>
      </w:r>
    </w:p>
    <w:p>
      <w:pPr>
        <w:pStyle w:val="ListParagraph"/>
        <w:numPr>
          <w:ilvl w:val="0"/>
          <w:numId w:val="2"/>
        </w:numPr>
        <w:spacing w:after="60" w:before="60"/>
      </w:pPr>
      <w:r>
        <w:rPr>
          <w:rFonts w:ascii="Arial" w:cs="Arial" w:eastAsia="Arial" w:hAnsi="Arial"/>
          <w:color w:val="2C3E50"/>
          <w:sz w:val="20"/>
          <w:szCs w:val="20"/>
        </w:rPr>
        <w:t xml:space="preserve">des health checks sur chaque service (api, db, mongodb)</w:t>
      </w:r>
    </w:p>
    <w:p>
      <w:pPr>
        <w:pStyle w:val="ListParagraph"/>
        <w:numPr>
          <w:ilvl w:val="0"/>
          <w:numId w:val="2"/>
        </w:numPr>
        <w:spacing w:after="60" w:before="60"/>
      </w:pPr>
      <w:r>
        <w:rPr>
          <w:rFonts w:ascii="Arial" w:cs="Arial" w:eastAsia="Arial" w:hAnsi="Arial"/>
          <w:color w:val="2C3E50"/>
          <w:sz w:val="20"/>
          <w:szCs w:val="20"/>
        </w:rPr>
        <w:t xml:space="preserve">une strategie de sauvegarde permettant une reprise rapide en cas d'incident</w:t>
      </w:r>
    </w:p>
    <w:p>
      <w:pPr>
        <w:spacing w:after="80" w:before="80"/>
      </w:pPr>
      <w:r>
        <w:t xml:space="preserve"/>
      </w:r>
    </w:p>
    <w:p>
      <w:pPr>
        <w:pStyle w:val="Heading2"/>
        <w:spacing w:after="120" w:before="280"/>
      </w:pPr>
      <w:r>
        <w:rPr>
          <w:rFonts w:ascii="Arial" w:cs="Arial" w:eastAsia="Arial" w:hAnsi="Arial"/>
          <w:b/>
          <w:bCs/>
          <w:color w:val="2C3E50"/>
          <w:sz w:val="24"/>
          <w:szCs w:val="24"/>
        </w:rPr>
        <w:t xml:space="preserve">3.2 Performances</w:t>
      </w:r>
    </w:p>
    <w:p>
      <w:pPr>
        <w:spacing w:after="120" w:before="80"/>
        <w:jc w:val="both"/>
      </w:pPr>
      <w:r>
        <w:rPr>
          <w:rFonts w:ascii="Arial" w:cs="Arial" w:eastAsia="Arial" w:hAnsi="Arial"/>
          <w:color w:val="2C3E50"/>
          <w:sz w:val="20"/>
          <w:szCs w:val="20"/>
        </w:rPr>
        <w:t xml:space="preserve">Le temps de reponse cible est de moins de 300 ms pour 95 % des requetes en charge normale (500 utilisateurs actifs simultanement, phase N1). Pour atteindre cet objectif, l'infrastructure doit etre dimensionnee avec des limites de ressources adaptees (CPU et memoire) et positionnee dans une region cloud geographiquement proche des utilisateurs europeens.</w:t>
      </w:r>
    </w:p>
    <w:p>
      <w:pPr>
        <w:spacing w:after="80" w:before="80"/>
      </w:pPr>
      <w:r>
        <w:t xml:space="preserve"/>
      </w:r>
    </w:p>
    <w:p>
      <w:pPr>
        <w:pStyle w:val="Heading2"/>
        <w:spacing w:after="120" w:before="280"/>
      </w:pPr>
      <w:r>
        <w:rPr>
          <w:rFonts w:ascii="Arial" w:cs="Arial" w:eastAsia="Arial" w:hAnsi="Arial"/>
          <w:b/>
          <w:bCs/>
          <w:color w:val="2C3E50"/>
          <w:sz w:val="24"/>
          <w:szCs w:val="24"/>
        </w:rPr>
        <w:t xml:space="preserve">3.3 Scalabilite</w:t>
      </w:r>
    </w:p>
    <w:p>
      <w:pPr>
        <w:spacing w:after="120" w:before="80"/>
        <w:jc w:val="both"/>
      </w:pPr>
      <w:r>
        <w:rPr>
          <w:rFonts w:ascii="Arial" w:cs="Arial" w:eastAsia="Arial" w:hAnsi="Arial"/>
          <w:color w:val="2C3E50"/>
          <w:sz w:val="20"/>
          <w:szCs w:val="20"/>
        </w:rPr>
        <w:t xml:space="preserve">La plateforme doit supporter deux niveaux de charge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30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Charge</w:t>
            </w:r>
          </w:p>
        </w:tc>
        <w:tc>
          <w:tcPr>
            <w:tcW w:type="dxa" w:w="40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Infrastructure cible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N1 — Lancement</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500 utilisateurs actifs simultanement</w:t>
            </w:r>
          </w:p>
        </w:tc>
        <w:tc>
          <w:tcPr>
            <w:tcW w:type="dxa" w:w="4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18"/>
                <w:szCs w:val="18"/>
              </w:rPr>
              <w:t xml:space="preserve">Monoserveur avec conteneurisation Docker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N2 — 18 mois</w:t>
            </w:r>
          </w:p>
        </w:tc>
        <w:tc>
          <w:tcPr>
            <w:tcW w:type="dxa" w:w="30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10 000 utilisateurs actifs</w:t>
            </w:r>
          </w:p>
        </w:tc>
        <w:tc>
          <w:tcPr>
            <w:tcW w:type="dxa" w:w="4013"/>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color w:val="2C3E50"/>
                <w:sz w:val="18"/>
                <w:szCs w:val="18"/>
              </w:rPr>
              <w:t xml:space="preserve">Scaling horizontal (repliques API) ou vertical, load balancer</w:t>
            </w:r>
          </w:p>
        </w:tc>
      </w:tr>
    </w:tbl>
    <w:p>
      <w:pPr>
        <w:spacing w:after="80" w:before="80"/>
      </w:pPr>
      <w:r>
        <w:t xml:space="preserve"/>
      </w:r>
    </w:p>
    <w:p>
      <w:pPr>
        <w:spacing w:after="120" w:before="80"/>
        <w:jc w:val="both"/>
      </w:pPr>
      <w:r>
        <w:rPr>
          <w:rFonts w:ascii="Arial" w:cs="Arial" w:eastAsia="Arial" w:hAnsi="Arial"/>
          <w:color w:val="2C3E50"/>
          <w:sz w:val="20"/>
          <w:szCs w:val="20"/>
        </w:rPr>
        <w:t xml:space="preserve">L'architecture choisie doit permettre cette montee en charge sans refonte majeure du code ou de l'infrastructure.</w:t>
      </w:r>
    </w:p>
    <w:p>
      <w:pPr>
        <w:spacing w:after="80" w:before="80"/>
      </w:pPr>
      <w:r>
        <w:t xml:space="preserve"/>
      </w:r>
    </w:p>
    <w:p>
      <w:pPr>
        <w:pStyle w:val="Heading2"/>
        <w:spacing w:after="120" w:before="280"/>
      </w:pPr>
      <w:r>
        <w:rPr>
          <w:rFonts w:ascii="Arial" w:cs="Arial" w:eastAsia="Arial" w:hAnsi="Arial"/>
          <w:b/>
          <w:bCs/>
          <w:color w:val="2C3E50"/>
          <w:sz w:val="24"/>
          <w:szCs w:val="24"/>
        </w:rPr>
        <w:t xml:space="preserve">3.4 Securite des donnees</w:t>
      </w:r>
    </w:p>
    <w:p>
      <w:pPr>
        <w:spacing w:after="120" w:before="80"/>
        <w:jc w:val="both"/>
      </w:pPr>
      <w:r>
        <w:rPr>
          <w:rFonts w:ascii="Arial" w:cs="Arial" w:eastAsia="Arial" w:hAnsi="Arial"/>
          <w:color w:val="2C3E50"/>
          <w:sz w:val="20"/>
          <w:szCs w:val="20"/>
        </w:rPr>
        <w:t xml:space="preserve">Toutes les communications doivent etre chiffrees via TLS (HTTPS). Les donnees sensibles stockees en base doivent etre chiffrees au repos. Aucune credential ne doit apparaitre en clair dans le depot Git, les Dockerfiles ou les fichiers de configuration CI/CD.</w:t>
      </w:r>
    </w:p>
    <w:p>
      <w:pPr>
        <w:spacing w:after="80" w:before="80"/>
      </w:pPr>
      <w:r>
        <w:t xml:space="preserve"/>
      </w:r>
    </w:p>
    <w:p>
      <w:pPr>
        <w:pStyle w:val="Heading2"/>
        <w:spacing w:after="120" w:before="280"/>
      </w:pPr>
      <w:r>
        <w:rPr>
          <w:rFonts w:ascii="Arial" w:cs="Arial" w:eastAsia="Arial" w:hAnsi="Arial"/>
          <w:b/>
          <w:bCs/>
          <w:color w:val="2C3E50"/>
          <w:sz w:val="24"/>
          <w:szCs w:val="24"/>
        </w:rPr>
        <w:t xml:space="preserve">3.5 Conformite RGPD</w:t>
      </w:r>
    </w:p>
    <w:p>
      <w:pPr>
        <w:spacing w:after="120" w:before="80"/>
        <w:jc w:val="both"/>
      </w:pPr>
      <w:r>
        <w:rPr>
          <w:rFonts w:ascii="Arial" w:cs="Arial" w:eastAsia="Arial" w:hAnsi="Arial"/>
          <w:color w:val="2C3E50"/>
          <w:sz w:val="20"/>
          <w:szCs w:val="20"/>
        </w:rPr>
        <w:t xml:space="preserve">Les donnees personnelles des utilisateurs (apprenants, formateurs) sont hebergees sur la plateforme. Le RGPD impose que ces donnees soient stockees dans l'Union Europeenne ou dans un pays offrant un niveau de protection equivalent. Le fournisseur cloud retenu doit proposer des regions de datacenter en Europe et disposer d'un DPA (Data Processing Agreement) conforme.</w:t>
      </w:r>
    </w:p>
    <w:p>
      <w:pPr>
        <w:spacing w:after="80" w:before="80"/>
      </w:pPr>
      <w:r>
        <w:t xml:space="preserve"/>
      </w:r>
    </w:p>
    <w:p>
      <w:pPr>
        <w:pStyle w:val="Heading1"/>
        <w:pBdr>
          <w:bottom w:val="single" w:color="1F3864" w:sz="6" w:space="4"/>
        </w:pBdr>
        <w:spacing w:after="160" w:before="360"/>
      </w:pPr>
      <w:r>
        <w:rPr>
          <w:rFonts w:ascii="Arial" w:cs="Arial" w:eastAsia="Arial" w:hAnsi="Arial"/>
          <w:b/>
          <w:bCs/>
          <w:color w:val="1F3864"/>
          <w:sz w:val="28"/>
          <w:szCs w:val="28"/>
        </w:rPr>
        <w:t xml:space="preserve">4. Besoins Organisationnels</w:t>
      </w:r>
    </w:p>
    <w:p>
      <w:pPr>
        <w:pStyle w:val="Heading2"/>
        <w:spacing w:after="120" w:before="280"/>
      </w:pPr>
      <w:r>
        <w:rPr>
          <w:rFonts w:ascii="Arial" w:cs="Arial" w:eastAsia="Arial" w:hAnsi="Arial"/>
          <w:b/>
          <w:bCs/>
          <w:color w:val="2C3E50"/>
          <w:sz w:val="24"/>
          <w:szCs w:val="24"/>
        </w:rPr>
        <w:t xml:space="preserve">4.1 Equipe sans ops dedie</w:t>
      </w:r>
    </w:p>
    <w:p>
      <w:pPr>
        <w:spacing w:after="120" w:before="80"/>
        <w:jc w:val="both"/>
      </w:pPr>
      <w:r>
        <w:rPr>
          <w:rFonts w:ascii="Arial" w:cs="Arial" w:eastAsia="Arial" w:hAnsi="Arial"/>
          <w:color w:val="2C3E50"/>
          <w:sz w:val="20"/>
          <w:szCs w:val="20"/>
        </w:rPr>
        <w:t xml:space="preserve">L'equipe est composee de 3 developpeurs sans administrateur systeme dedie. L'infrastructure doit privilegier des services manages (bases de donnees managees, registres d'images, pipelines CI/CD heberges) afin de reduire la charge operationnelle. Les outils choisis doivent etre accessibles a des developpeurs sans expertise DevOps avancee.</w:t>
      </w:r>
    </w:p>
    <w:p>
      <w:pPr>
        <w:spacing w:after="80" w:before="80"/>
      </w:pPr>
      <w:r>
        <w:t xml:space="preserve"/>
      </w:r>
    </w:p>
    <w:p>
      <w:pPr>
        <w:pStyle w:val="Heading2"/>
        <w:spacing w:after="120" w:before="280"/>
      </w:pPr>
      <w:r>
        <w:rPr>
          <w:rFonts w:ascii="Arial" w:cs="Arial" w:eastAsia="Arial" w:hAnsi="Arial"/>
          <w:b/>
          <w:bCs/>
          <w:color w:val="2C3E50"/>
          <w:sz w:val="24"/>
          <w:szCs w:val="24"/>
        </w:rPr>
        <w:t xml:space="preserve">4.2 Budget limite et montee en charge progressive</w:t>
      </w:r>
    </w:p>
    <w:p>
      <w:pPr>
        <w:spacing w:after="120" w:before="80"/>
        <w:jc w:val="both"/>
      </w:pPr>
      <w:r>
        <w:rPr>
          <w:rFonts w:ascii="Arial" w:cs="Arial" w:eastAsia="Arial" w:hAnsi="Arial"/>
          <w:color w:val="2C3E50"/>
          <w:sz w:val="20"/>
          <w:szCs w:val="20"/>
        </w:rPr>
        <w:t xml:space="preserve">Le budget de demarrage est limite. L'infrastructure de la phase N1 doit etre la plus economique possible, avec la capacite de monter en charge progressivement en phase N2 sans migration lourde. Les fournisseurs proposant un modele pay-as-you-go ou des offres d'entree de gamme abordables sont a privilegier.</w:t>
      </w:r>
    </w:p>
    <w:p>
      <w:pPr>
        <w:spacing w:after="80" w:before="80"/>
      </w:pPr>
      <w:r>
        <w:t xml:space="preserve"/>
      </w:r>
    </w:p>
    <w:p>
      <w:pPr>
        <w:pStyle w:val="Heading2"/>
        <w:spacing w:after="120" w:before="280"/>
      </w:pPr>
      <w:r>
        <w:rPr>
          <w:rFonts w:ascii="Arial" w:cs="Arial" w:eastAsia="Arial" w:hAnsi="Arial"/>
          <w:b/>
          <w:bCs/>
          <w:color w:val="2C3E50"/>
          <w:sz w:val="24"/>
          <w:szCs w:val="24"/>
        </w:rPr>
        <w:t xml:space="preserve">4.3 Automatisation du deploiement</w:t>
      </w:r>
    </w:p>
    <w:p>
      <w:pPr>
        <w:spacing w:after="120" w:before="80"/>
        <w:jc w:val="both"/>
      </w:pPr>
      <w:r>
        <w:rPr>
          <w:rFonts w:ascii="Arial" w:cs="Arial" w:eastAsia="Arial" w:hAnsi="Arial"/>
          <w:color w:val="2C3E50"/>
          <w:sz w:val="20"/>
          <w:szCs w:val="20"/>
        </w:rPr>
        <w:t xml:space="preserve">L'absence d'ops dedie impose une automatisation maximale : pipeline CI/CD pour les tests, la construction des images et le deploiement, avec zero intervention manuelle pour les deploiements courants. Le pipeline existant (GitHub Actions) doit etre complete pour atteindre cet objectif.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C3E50"/>
      <w:sz w:val="24"/>
      <w:szCs w:val="24"/>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2026-04-11T06:16:24.458Z</dcterms:created>
  <dcterms:modified xsi:type="dcterms:W3CDTF">2026-04-11T06:16:24.459Z</dcterms:modified>
</cp:coreProperties>
</file>

<file path=docProps/custom.xml><?xml version="1.0" encoding="utf-8"?>
<Properties xmlns="http://schemas.openxmlformats.org/officeDocument/2006/custom-properties" xmlns:vt="http://schemas.openxmlformats.org/officeDocument/2006/docPropsVTypes"/>
</file>