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color w:val="888888"/>
          <w:sz w:val="20"/>
          <w:szCs w:val="20"/>
        </w:rPr>
        <w:t xml:space="preserve">SkillHub — Bloc 03</w:t>
      </w:r>
    </w:p>
    <w:p>
      <w:pPr>
        <w:spacing w:after="200" w:before="0"/>
        <w:jc w:val="center"/>
      </w:pPr>
      <w:r>
        <w:rPr>
          <w:rFonts w:ascii="Arial" w:cs="Arial" w:eastAsia="Arial" w:hAnsi="Arial"/>
          <w:color w:val="888888"/>
          <w:sz w:val="20"/>
          <w:szCs w:val="20"/>
        </w:rPr>
        <w:t xml:space="preserve">Cloud, DevOps &amp; Architecture</w:t>
      </w:r>
    </w:p>
    <w:p>
      <w:pPr>
        <w:pBdr>
          <w:bottom w:val="single" w:color="1F3864" w:sz="12" w:space="6"/>
        </w:pBdr>
        <w:spacing w:after="240" w:before="0"/>
        <w:jc w:val="center"/>
      </w:pPr>
      <w:r>
        <w:rPr>
          <w:rFonts w:ascii="Arial" w:cs="Arial" w:eastAsia="Arial" w:hAnsi="Arial"/>
          <w:b/>
          <w:bCs/>
          <w:color w:val="1F3864"/>
          <w:sz w:val="52"/>
          <w:szCs w:val="52"/>
        </w:rPr>
        <w:t xml:space="preserve">Comparaison des Offres Cloud</w:t>
      </w:r>
    </w:p>
    <w:p>
      <w:pPr>
        <w:spacing w:after="120" w:before="0"/>
        <w:jc w:val="center"/>
      </w:pPr>
      <w:r>
        <w:rPr>
          <w:rFonts w:ascii="Arial" w:cs="Arial" w:eastAsia="Arial" w:hAnsi="Arial"/>
          <w:color w:val="2C3E50"/>
          <w:sz w:val="24"/>
          <w:szCs w:val="24"/>
        </w:rPr>
        <w:t xml:space="preserve">Section 2 du Rapport d'Audit Cloud</w:t>
      </w:r>
    </w:p>
    <w:p>
      <w:pPr>
        <w:spacing w:after="80" w:before="80"/>
      </w:pPr>
      <w:r>
        <w:t xml:space="preserve"/>
      </w:r>
    </w:p>
    <w:p>
      <w:pPr>
        <w:spacing w:after="80" w:before="80"/>
      </w:pPr>
      <w:r>
        <w:t xml:space="preserve"/>
      </w:r>
    </w:p>
    <w:p>
      <w:pPr>
        <w:spacing w:after="60" w:before="0"/>
        <w:jc w:val="center"/>
      </w:pPr>
      <w:r>
        <w:rPr>
          <w:rFonts w:ascii="Arial" w:cs="Arial" w:eastAsia="Arial" w:hAnsi="Arial"/>
          <w:color w:val="888888"/>
          <w:sz w:val="18"/>
          <w:szCs w:val="18"/>
        </w:rPr>
        <w:t xml:space="preserve">Reference : CDC-SKILLHUB-2026 — Bloc 03</w:t>
      </w:r>
    </w:p>
    <w:p>
      <w:pPr>
        <w:spacing w:after="60" w:before="0"/>
        <w:jc w:val="center"/>
      </w:pPr>
      <w:r>
        <w:rPr>
          <w:rFonts w:ascii="Arial" w:cs="Arial" w:eastAsia="Arial" w:hAnsi="Arial"/>
          <w:color w:val="888888"/>
          <w:sz w:val="18"/>
          <w:szCs w:val="18"/>
        </w:rPr>
        <w:t xml:space="preserve">Bachelor Concepteur Developpeur Web Full Stack — Promotion 2025/2026</w:t>
      </w:r>
    </w:p>
    <w:p>
      <w:pPr>
        <w:spacing w:after="60" w:before="0"/>
        <w:jc w:val="center"/>
      </w:pPr>
      <w:r>
        <w:rPr>
          <w:rFonts w:ascii="Arial" w:cs="Arial" w:eastAsia="Arial" w:hAnsi="Arial"/>
          <w:color w:val="888888"/>
          <w:sz w:val="18"/>
          <w:szCs w:val="18"/>
        </w:rPr>
        <w:t xml:space="preserve">Avril 2025</w:t>
      </w:r>
    </w:p>
    <w:p>
      <w:r>
        <w:br w:type="page"/>
      </w:r>
    </w:p>
    <w:p>
      <w:pPr>
        <w:pStyle w:val="Heading1"/>
        <w:pBdr>
          <w:bottom w:val="single" w:color="1F3864" w:sz="6" w:space="4"/>
        </w:pBdr>
        <w:spacing w:after="160" w:before="360"/>
      </w:pPr>
      <w:r>
        <w:rPr>
          <w:rFonts w:ascii="Arial" w:cs="Arial" w:eastAsia="Arial" w:hAnsi="Arial"/>
          <w:b/>
          <w:bCs/>
          <w:color w:val="1F3864"/>
          <w:sz w:val="28"/>
          <w:szCs w:val="28"/>
        </w:rPr>
        <w:t xml:space="preserve">1. Fournisseurs Analyses</w:t>
      </w:r>
    </w:p>
    <w:p>
      <w:pPr>
        <w:spacing w:after="120" w:before="80"/>
        <w:jc w:val="both"/>
      </w:pPr>
      <w:r>
        <w:rPr>
          <w:rFonts w:ascii="Arial" w:cs="Arial" w:eastAsia="Arial" w:hAnsi="Arial"/>
          <w:color w:val="2C3E50"/>
          <w:sz w:val="20"/>
          <w:szCs w:val="20"/>
        </w:rPr>
        <w:t xml:space="preserve">Deux fournisseurs principaux ont ete retenus pour cette comparaison : AWS (Amazon Web Services) et OVHcloud. AWS represente le leader mondial du cloud public avec une offre complete mais une complexite et un cout eleves. OVHcloud est un acteur europeen souverain, plus accessible pour une equipe sans ops dedie, et nativement conforme RGPD. Hetzner Cloud est presente en complement comme option tres economique.</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2. Tableau Comparatif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Critere</w:t>
            </w:r>
          </w:p>
        </w:tc>
        <w:tc>
          <w:tcPr>
            <w:tcW w:type="dxa" w:w="227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w:t>
            </w:r>
          </w:p>
        </w:tc>
        <w:tc>
          <w:tcPr>
            <w:tcW w:type="dxa" w:w="227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OVHcloud</w:t>
            </w:r>
          </w:p>
        </w:tc>
        <w:tc>
          <w:tcPr>
            <w:tcW w:type="dxa" w:w="2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Hetzner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Modele de service</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IaaS + PaaS + FaaS</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IaaS + PaaS</w:t>
            </w:r>
          </w:p>
        </w:tc>
        <w:tc>
          <w:tcPr>
            <w:tcW w:type="dxa" w:w="2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IaaS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Services principaux</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EC2, RDS, ECR, ECS, S3, CloudWatch</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Instances Public Cloud, Managed PostgreSQL, Object Storage</w:t>
            </w:r>
          </w:p>
        </w:tc>
        <w:tc>
          <w:tcPr>
            <w:tcW w:type="dxa" w:w="22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VPS Cloud, Volume Block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Regions Europe</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Paris, Francfort, Irlande, Milan</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Strasbourg, Gravelines, Roubaix, Varsovie</w:t>
            </w:r>
          </w:p>
        </w:tc>
        <w:tc>
          <w:tcPr>
            <w:tcW w:type="dxa" w:w="2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Nuremberg, Falkenstein, Helsinki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Conformite RGPD</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Oui — DPA, ISO 27001, SOC 2 (region EU requise)</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Oui — siege France, 100% EU, HDS, ISO 27001, DPA natif</w:t>
            </w:r>
          </w:p>
        </w:tc>
        <w:tc>
          <w:tcPr>
            <w:tcW w:type="dxa" w:w="22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Oui — siege Allemagne, GDPR-compliant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Cout estime N1</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~120-180 EUR/mois</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~40-70 EUR/mois</w:t>
            </w:r>
          </w:p>
        </w:tc>
        <w:tc>
          <w:tcPr>
            <w:tcW w:type="dxa" w:w="2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~15-30 EUR/mois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Complexite admin</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Elevee — console complexe, nombreux services</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Moderee — interface claire, doc francophone</w:t>
            </w:r>
          </w:p>
        </w:tc>
        <w:tc>
          <w:tcPr>
            <w:tcW w:type="dxa" w:w="22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Faible — interface simple, ideal Docker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Vendor lock-in</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Eleve — services proprietaires imbriques</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Faible a modere — standards ouverts</w:t>
            </w:r>
          </w:p>
        </w:tc>
        <w:tc>
          <w:tcPr>
            <w:tcW w:type="dxa" w:w="2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Tres faible — VPS standard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Scaling N1-&gt;N2</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Excellent — Auto Scaling, RDS replicas</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Bon — instances redimensionnables, Load Balancer</w:t>
            </w:r>
          </w:p>
        </w:tc>
        <w:tc>
          <w:tcPr>
            <w:tcW w:type="dxa" w:w="22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Limite — scaling manuel uniquement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Points forts</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Maturite, fiabilite, ecosysteme complet</w:t>
            </w:r>
          </w:p>
        </w:tc>
        <w:tc>
          <w:tcPr>
            <w:tcW w:type="dxa" w:w="22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Prix, souverainete europeenne, simplicite</w:t>
            </w:r>
          </w:p>
        </w:tc>
        <w:tc>
          <w:tcPr>
            <w:tcW w:type="dxa" w:w="2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Prix tres competitif, ideal demarrage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Risques SkillHub</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Cout eleve, courbe apprentissage importante</w:t>
            </w:r>
          </w:p>
        </w:tc>
        <w:tc>
          <w:tcPr>
            <w:tcW w:type="dxa" w:w="227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Offre managee moins exhaustive qu'AWS</w:t>
            </w:r>
          </w:p>
        </w:tc>
        <w:tc>
          <w:tcPr>
            <w:tcW w:type="dxa" w:w="227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Scaling insuffisant pour N2, pas de services manages</w:t>
            </w:r>
          </w:p>
        </w:tc>
      </w:tr>
    </w:tbl>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3. Detail des Couts — Phase N1 (500 utilisateurs actifs)</w:t>
      </w:r>
    </w:p>
    <w:p>
      <w:pPr>
        <w:pStyle w:val="Heading2"/>
        <w:spacing w:after="120" w:before="280"/>
      </w:pPr>
      <w:r>
        <w:rPr>
          <w:rFonts w:ascii="Arial" w:cs="Arial" w:eastAsia="Arial" w:hAnsi="Arial"/>
          <w:b/>
          <w:bCs/>
          <w:color w:val="2C3E50"/>
          <w:sz w:val="24"/>
          <w:szCs w:val="24"/>
        </w:rPr>
        <w:t xml:space="preserve">3.1 AWS — Estimation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Cout estime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EC2 (API + nginx)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t3.small (2 vCPU, 2 Go RAM)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~18 EUR/mois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RDS PostgreSQL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db.t3.micro, 20 Go SSD</w:t>
            </w:r>
          </w:p>
        </w:tc>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~25 EUR/mois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MongoDB (EC2 auto-heberge)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Inclus dans instance EC2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~0 EUR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S3 (stockage ressources)</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50 Go + transfert</w:t>
            </w:r>
          </w:p>
        </w:tc>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~5 EUR/mois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ECR (registry images)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3 images, 10 Go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~3 EUR/mois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CloudWatch (monitoring)</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Logs basiques</w:t>
            </w:r>
          </w:p>
        </w:tc>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~10 EUR/mois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18"/>
                <w:szCs w:val="18"/>
              </w:rPr>
              <w:t xml:space="preserve">Total estime N1</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~111-180 EUR/mois</w:t>
            </w:r>
          </w:p>
        </w:tc>
      </w:tr>
    </w:tbl>
    <w:p>
      <w:pPr>
        <w:spacing w:after="80" w:before="80"/>
      </w:pPr>
      <w:r>
        <w:t xml:space="preserve"/>
      </w:r>
    </w:p>
    <w:p>
      <w:pPr>
        <w:spacing w:after="120" w:before="80"/>
        <w:jc w:val="both"/>
      </w:pPr>
      <w:r>
        <w:rPr>
          <w:rFonts w:ascii="Arial" w:cs="Arial" w:eastAsia="Arial" w:hAnsi="Arial"/>
          <w:color w:val="2C3E50"/>
          <w:sz w:val="20"/>
          <w:szCs w:val="20"/>
        </w:rPr>
        <w:t xml:space="preserve">Source : AWS Pricing Calculator, tarifs publics avril 2025, region eu-west-3 (Paris).</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3.2 OVHcloud — Estimation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Cout estime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Public Cloud Instance (API + nginx)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B2-7 (2 vCPU, 7 Go RAM)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~18 EUR/mois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Managed PostgreSQL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Essential, 1 noeud, 10 Go</w:t>
            </w:r>
          </w:p>
        </w:tc>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~12 EUR/mois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MongoDB auto-heberge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Inclus dans l'instance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~0 EUR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Object Storage (ressources)</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50 Go</w:t>
            </w:r>
          </w:p>
        </w:tc>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~3 EUR/mois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Registry + monitoring (open source)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Inclus dans Public Cloud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~0 EUR</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18"/>
                <w:szCs w:val="18"/>
              </w:rPr>
              <w:t xml:space="preserve">Total estime N1</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~33-55 EUR/mois</w:t>
            </w:r>
          </w:p>
        </w:tc>
      </w:tr>
    </w:tbl>
    <w:p>
      <w:pPr>
        <w:spacing w:after="80" w:before="80"/>
      </w:pPr>
      <w:r>
        <w:t xml:space="preserve"/>
      </w:r>
    </w:p>
    <w:p>
      <w:pPr>
        <w:spacing w:after="120" w:before="80"/>
        <w:jc w:val="both"/>
      </w:pPr>
      <w:r>
        <w:rPr>
          <w:rFonts w:ascii="Arial" w:cs="Arial" w:eastAsia="Arial" w:hAnsi="Arial"/>
          <w:color w:val="2C3E50"/>
          <w:sz w:val="20"/>
          <w:szCs w:val="20"/>
        </w:rPr>
        <w:t xml:space="preserve">Source : OVHcloud Public Cloud pricing, tarifs publics avril 2025.</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3.3 Hetzner Cloud — Estimation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Cout estime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Cloud Server CX22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2 vCPU, 4 Go RAM — API + BDD + MongoDB sur un seul serveur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~6 EUR/mois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Volume Block Storage (persistance)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50 Go</w:t>
            </w:r>
          </w:p>
        </w:tc>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~2,5 EUR/mois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18"/>
                <w:szCs w:val="18"/>
              </w:rPr>
              <w:t xml:space="preserve">Total estime N1</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~8-15 EUR/mois</w:t>
            </w:r>
          </w:p>
        </w:tc>
      </w:tr>
    </w:tbl>
    <w:p>
      <w:pPr>
        <w:spacing w:after="80" w:before="80"/>
      </w:pPr>
      <w:r>
        <w:t xml:space="preserve"/>
      </w:r>
    </w:p>
    <w:p>
      <w:pPr>
        <w:spacing w:after="120" w:before="80"/>
        <w:jc w:val="both"/>
      </w:pPr>
      <w:r>
        <w:rPr>
          <w:rFonts w:ascii="Arial" w:cs="Arial" w:eastAsia="Arial" w:hAnsi="Arial"/>
          <w:color w:val="2C3E50"/>
          <w:sz w:val="20"/>
          <w:szCs w:val="20"/>
        </w:rPr>
        <w:t xml:space="preserve">Source : Hetzner Cloud pricing, tarifs publics avril 2025.</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4. Projection Phase N2 (10 000 utilisateurs — 18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Fournisseur</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Strategie de scaling</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Cout estime N2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AWS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Auto Scaling EC2, RDS Multi-AZ, CloudFront CDN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~400-700 EUR/mois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OVHcloud</w:t>
            </w:r>
          </w:p>
        </w:tc>
        <w:tc>
          <w:tcPr>
            <w:tcW w:type="dxa" w:w="4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Ajout d'instances, Load Balancer OVH, Managed PostgreSQL etendu</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~150-250 EUR/mois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Hetzner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Migration vers serveur plus puissant (CX52) ou multi-serveurs manuels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~50-100 EUR/mois (limites operationnelles)</w:t>
            </w:r>
          </w:p>
        </w:tc>
      </w:tr>
    </w:tbl>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5. Recommandation — OVHcloud</w:t>
      </w:r>
    </w:p>
    <w:p>
      <w:pPr>
        <w:spacing w:after="120" w:before="80"/>
        <w:jc w:val="both"/>
      </w:pPr>
      <w:r>
        <w:rPr>
          <w:rFonts w:ascii="Arial" w:cs="Arial" w:eastAsia="Arial" w:hAnsi="Arial"/>
          <w:color w:val="2C3E50"/>
          <w:sz w:val="20"/>
          <w:szCs w:val="20"/>
        </w:rPr>
        <w:t xml:space="preserve">OVHcloud est le choix le mieux adapte aux contraintes de SkillHub pour les raisons suivantes :</w:t>
      </w:r>
    </w:p>
    <w:p>
      <w:pPr>
        <w:spacing w:after="80" w:before="80"/>
      </w:pPr>
      <w:r>
        <w:t xml:space="preserve"/>
      </w:r>
    </w:p>
    <w:p>
      <w:pPr>
        <w:pStyle w:val="Heading3"/>
        <w:spacing w:after="80" w:before="200"/>
      </w:pPr>
      <w:r>
        <w:rPr>
          <w:rFonts w:ascii="Arial" w:cs="Arial" w:eastAsia="Arial" w:hAnsi="Arial"/>
          <w:b/>
          <w:bCs/>
          <w:color w:val="555555"/>
          <w:sz w:val="22"/>
          <w:szCs w:val="22"/>
        </w:rPr>
        <w:t xml:space="preserve">Conformite RGPD native</w:t>
      </w:r>
    </w:p>
    <w:p>
      <w:pPr>
        <w:spacing w:after="120" w:before="80"/>
        <w:jc w:val="both"/>
      </w:pPr>
      <w:r>
        <w:rPr>
          <w:rFonts w:ascii="Arial" w:cs="Arial" w:eastAsia="Arial" w:hAnsi="Arial"/>
          <w:color w:val="2C3E50"/>
          <w:sz w:val="20"/>
          <w:szCs w:val="20"/>
        </w:rPr>
        <w:t xml:space="preserve">En tant qu'entreprise francaise hebergeant exclusivement en Europe, OVHcloud supprime toute ambiguite reglementaire sur la localisation des donnees. Aucune configuration supplementaire n'est necessaire pour garantir la conformite, contrairement a AWS ou le choix de la region et des parametres de transfert doit etre explicitement verifie.</w:t>
      </w:r>
    </w:p>
    <w:p>
      <w:pPr>
        <w:spacing w:after="80" w:before="80"/>
      </w:pPr>
      <w:r>
        <w:t xml:space="preserve"/>
      </w:r>
    </w:p>
    <w:p>
      <w:pPr>
        <w:pStyle w:val="Heading3"/>
        <w:spacing w:after="80" w:before="200"/>
      </w:pPr>
      <w:r>
        <w:rPr>
          <w:rFonts w:ascii="Arial" w:cs="Arial" w:eastAsia="Arial" w:hAnsi="Arial"/>
          <w:b/>
          <w:bCs/>
          <w:color w:val="555555"/>
          <w:sz w:val="22"/>
          <w:szCs w:val="22"/>
        </w:rPr>
        <w:t xml:space="preserve">Cout adapte au budget de demarrage</w:t>
      </w:r>
    </w:p>
    <w:p>
      <w:pPr>
        <w:spacing w:after="120" w:before="80"/>
        <w:jc w:val="both"/>
      </w:pPr>
      <w:r>
        <w:rPr>
          <w:rFonts w:ascii="Arial" w:cs="Arial" w:eastAsia="Arial" w:hAnsi="Arial"/>
          <w:color w:val="2C3E50"/>
          <w:sz w:val="20"/>
          <w:szCs w:val="20"/>
        </w:rPr>
        <w:t xml:space="preserve">Avec un cout estime de 33 a 55 EUR/mois en phase N1, OVHcloud est 2 a 3 fois moins cher qu'AWS pour des performances comparables. Cet ecart est significatif pour une equipe dont le budget de demarrage est limite.</w:t>
      </w:r>
    </w:p>
    <w:p>
      <w:pPr>
        <w:spacing w:after="80" w:before="80"/>
      </w:pPr>
      <w:r>
        <w:t xml:space="preserve"/>
      </w:r>
    </w:p>
    <w:p>
      <w:pPr>
        <w:pStyle w:val="Heading3"/>
        <w:spacing w:after="80" w:before="200"/>
      </w:pPr>
      <w:r>
        <w:rPr>
          <w:rFonts w:ascii="Arial" w:cs="Arial" w:eastAsia="Arial" w:hAnsi="Arial"/>
          <w:b/>
          <w:bCs/>
          <w:color w:val="555555"/>
          <w:sz w:val="22"/>
          <w:szCs w:val="22"/>
        </w:rPr>
        <w:t xml:space="preserve">Complexite moderee sans lock-in</w:t>
      </w:r>
    </w:p>
    <w:p>
      <w:pPr>
        <w:spacing w:after="120" w:before="80"/>
        <w:jc w:val="both"/>
      </w:pPr>
      <w:r>
        <w:rPr>
          <w:rFonts w:ascii="Arial" w:cs="Arial" w:eastAsia="Arial" w:hAnsi="Arial"/>
          <w:color w:val="2C3E50"/>
          <w:sz w:val="20"/>
          <w:szCs w:val="20"/>
        </w:rPr>
        <w:t xml:space="preserve">OVHcloud propose des services manages (PostgreSQL manage, Object Storage) qui reduisent la charge operationnelle, tout en utilisant des standards ouverts. Une migration vers un autre fournisseur reste possible sans reecriture majeure.</w:t>
      </w:r>
    </w:p>
    <w:p>
      <w:pPr>
        <w:spacing w:after="80" w:before="80"/>
      </w:pPr>
      <w:r>
        <w:t xml:space="preserve"/>
      </w:r>
    </w:p>
    <w:p>
      <w:pPr>
        <w:pStyle w:val="Heading3"/>
        <w:spacing w:after="80" w:before="200"/>
      </w:pPr>
      <w:r>
        <w:rPr>
          <w:rFonts w:ascii="Arial" w:cs="Arial" w:eastAsia="Arial" w:hAnsi="Arial"/>
          <w:b/>
          <w:bCs/>
          <w:color w:val="555555"/>
          <w:sz w:val="22"/>
          <w:szCs w:val="22"/>
        </w:rPr>
        <w:t xml:space="preserve">Scalabilite suffisante pour la phase N2</w:t>
      </w:r>
    </w:p>
    <w:p>
      <w:pPr>
        <w:spacing w:after="120" w:before="80"/>
        <w:jc w:val="both"/>
      </w:pPr>
      <w:r>
        <w:rPr>
          <w:rFonts w:ascii="Arial" w:cs="Arial" w:eastAsia="Arial" w:hAnsi="Arial"/>
          <w:color w:val="2C3E50"/>
          <w:sz w:val="20"/>
          <w:szCs w:val="20"/>
        </w:rPr>
        <w:t xml:space="preserve">OVHcloud permet le redimensionnement des instances et la mise en place d'un Load Balancer pour la phase N2, ce qui couvre les besoins de croissance a 18 mois sans migration de plateforme.</w:t>
      </w:r>
    </w:p>
    <w:p>
      <w:pPr>
        <w:spacing w:after="80" w:before="80"/>
      </w:pPr>
      <w:r>
        <w:t xml:space="preserve"/>
      </w:r>
    </w:p>
    <w:p>
      <w:pPr>
        <w:pStyle w:val="Heading3"/>
        <w:spacing w:after="80" w:before="200"/>
      </w:pPr>
      <w:r>
        <w:rPr>
          <w:rFonts w:ascii="Arial" w:cs="Arial" w:eastAsia="Arial" w:hAnsi="Arial"/>
          <w:b/>
          <w:bCs/>
          <w:color w:val="555555"/>
          <w:sz w:val="22"/>
          <w:szCs w:val="22"/>
        </w:rPr>
        <w:t xml:space="preserve">Fournisseurs ecartes</w:t>
      </w:r>
    </w:p>
    <w:p>
      <w:pPr>
        <w:spacing w:after="120" w:before="80"/>
        <w:jc w:val="both"/>
      </w:pPr>
      <w:r>
        <w:rPr>
          <w:rFonts w:ascii="Arial" w:cs="Arial" w:eastAsia="Arial" w:hAnsi="Arial"/>
          <w:color w:val="2C3E50"/>
          <w:sz w:val="20"/>
          <w:szCs w:val="20"/>
        </w:rPr>
        <w:t xml:space="preserve">Hetzner est ecarte malgre son cout tres competitif car ses services manages sont trop limites pour la phase N2 et pour une equipe sans ops dedie. AWS est ecarte en raison de sa complexite et de son cout, qui ne correspondent pas au profil de l'equipe et au budget disponible.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3E5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2026-04-11T06:16:24.471Z</dcterms:created>
  <dcterms:modified xsi:type="dcterms:W3CDTF">2026-04-11T06:16:24.471Z</dcterms:modified>
</cp:coreProperties>
</file>

<file path=docProps/custom.xml><?xml version="1.0" encoding="utf-8"?>
<Properties xmlns="http://schemas.openxmlformats.org/officeDocument/2006/custom-properties" xmlns:vt="http://schemas.openxmlformats.org/officeDocument/2006/docPropsVTypes"/>
</file>