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7D" w:rsidRDefault="00DF2543">
      <w:r>
        <w:t xml:space="preserve">Dans cette section, nous explorons la possibilité que des chocs climatiques se </w:t>
      </w:r>
      <w:r w:rsidR="00E9219E">
        <w:t xml:space="preserve">traduisent par </w:t>
      </w:r>
      <w:r>
        <w:t>de</w:t>
      </w:r>
      <w:r w:rsidR="00E9219E">
        <w:t>s</w:t>
      </w:r>
      <w:r>
        <w:t xml:space="preserve"> jump dans le prix </w:t>
      </w:r>
      <w:r w:rsidR="00E9219E">
        <w:t>d’un</w:t>
      </w:r>
      <w:r>
        <w:t xml:space="preserve"> actif.</w:t>
      </w:r>
    </w:p>
    <w:p w:rsidR="00E9219E" w:rsidRDefault="00E9219E"/>
    <w:p w:rsidR="00E9219E" w:rsidRPr="000075C7" w:rsidRDefault="00E9219E">
      <w:pPr>
        <w:rPr>
          <w:lang w:val="en-US"/>
        </w:rPr>
      </w:pPr>
      <w:r>
        <w:t>Dans le modèle standard de Black-</w:t>
      </w:r>
      <w:proofErr w:type="spellStart"/>
      <w:r>
        <w:t>Scholes</w:t>
      </w:r>
      <w:proofErr w:type="spellEnd"/>
      <w:r>
        <w:t xml:space="preserve">, le </w:t>
      </w:r>
      <w:r w:rsidR="00EC011C">
        <w:t xml:space="preserve">prix d’un actif est supposé </w:t>
      </w:r>
      <w:r w:rsidR="003B684E">
        <w:t>être</w:t>
      </w:r>
      <w:r w:rsidR="00EC011C">
        <w:t xml:space="preserve"> un processus log-normal, où la seule source de risque est matérialisé par un mouvement géométrique brownien</w:t>
      </w:r>
      <w:r w:rsidR="000075C7">
        <w:t xml:space="preserve">. </w:t>
      </w:r>
      <w:r w:rsidR="000075C7" w:rsidRPr="000075C7">
        <w:rPr>
          <w:lang w:val="en-US"/>
        </w:rPr>
        <w:t>Under the risk neutral measure, the BSM models implies that the stock price</w:t>
      </w:r>
      <w:r w:rsidR="000075C7">
        <w:rPr>
          <w:lang w:val="en-US"/>
        </w:rPr>
        <w:t xml:space="preserve"> movement is described by the following Stochastic Differential Equation (SDE):</w:t>
      </w:r>
      <w:r w:rsidR="00EC011C" w:rsidRPr="000075C7">
        <w:rPr>
          <w:lang w:val="en-US"/>
        </w:rPr>
        <w:t xml:space="preserve"> </w:t>
      </w:r>
    </w:p>
    <w:p w:rsidR="00EC011C" w:rsidRPr="000075C7" w:rsidRDefault="00EC011C" w:rsidP="00EC011C">
      <w:pPr>
        <w:rPr>
          <w:lang w:val="en-US"/>
        </w:rPr>
      </w:pPr>
    </w:p>
    <w:p w:rsidR="00EC011C" w:rsidRPr="00EC011C" w:rsidRDefault="00EC011C" w:rsidP="00EC01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 xml:space="preserve">= </m:t>
          </m:r>
          <m:r>
            <w:rPr>
              <w:rFonts w:ascii="Cambria Math" w:hAnsi="Cambria Math"/>
            </w:rPr>
            <m:t>r</m:t>
          </m:r>
          <m:r>
            <w:rPr>
              <w:rFonts w:ascii="Cambria Math" w:hAnsi="Cambria Math"/>
            </w:rPr>
            <m:t xml:space="preserve">dt+ </m:t>
          </m:r>
          <m:r>
            <w:rPr>
              <w:rFonts w:ascii="Cambria Math" w:hAnsi="Cambria Math"/>
            </w:rPr>
            <m:t>σ</m:t>
          </m:r>
          <m:sSub>
            <m:sSubPr>
              <m:ctrlPr>
                <w:rPr>
                  <w:rFonts w:ascii="Cambria Math" w:hAnsi="Cambria Math"/>
                  <w:i/>
                </w:rPr>
              </m:ctrlPr>
            </m:sSubPr>
            <m:e>
              <m:r>
                <w:rPr>
                  <w:rFonts w:ascii="Cambria Math" w:hAnsi="Cambria Math"/>
                </w:rPr>
                <m:t>dW</m:t>
              </m:r>
            </m:e>
            <m:sub>
              <m:r>
                <w:rPr>
                  <w:rFonts w:ascii="Cambria Math" w:hAnsi="Cambria Math"/>
                </w:rPr>
                <m:t>t</m:t>
              </m:r>
            </m:sub>
          </m:sSub>
        </m:oMath>
      </m:oMathPara>
    </w:p>
    <w:p w:rsidR="00EC011C" w:rsidRDefault="00EC011C" w:rsidP="00EC011C"/>
    <w:p w:rsidR="00EC011C" w:rsidRDefault="00EC011C" w:rsidP="00EC011C">
      <w:r>
        <w:t>Où S est le prix de l’actif,</w:t>
      </w:r>
      <w:r w:rsidR="00F122A3">
        <w:t xml:space="preserve"> r</w:t>
      </w:r>
      <w:r>
        <w:t xml:space="preserve"> est le </w:t>
      </w:r>
      <w:proofErr w:type="spellStart"/>
      <w:r w:rsidR="00F122A3">
        <w:t>risk</w:t>
      </w:r>
      <w:proofErr w:type="spellEnd"/>
      <w:r w:rsidR="00F122A3">
        <w:t>-free rate</w:t>
      </w:r>
      <w:r>
        <w:t>, sigma la volatilité</w:t>
      </w:r>
      <w:r w:rsidR="00F122A3">
        <w:t xml:space="preserve"> de l’actif,</w:t>
      </w:r>
      <w:r>
        <w:t xml:space="preserve"> et W le mouvement brownien.</w:t>
      </w:r>
    </w:p>
    <w:p w:rsidR="00EC011C" w:rsidRDefault="00EC011C" w:rsidP="00EC011C"/>
    <w:p w:rsidR="00EC011C" w:rsidRPr="00F122A3" w:rsidRDefault="00EC011C">
      <w:pPr>
        <w:rPr>
          <w:lang w:val="en-US"/>
        </w:rPr>
      </w:pPr>
      <w:r>
        <w:t xml:space="preserve">Si ce modèle s’avère particulièrement utile, de nombreux faits empiriques, les </w:t>
      </w:r>
      <w:proofErr w:type="spellStart"/>
      <w:r>
        <w:t>so-called</w:t>
      </w:r>
      <w:proofErr w:type="spellEnd"/>
      <w:r>
        <w:t xml:space="preserve"> </w:t>
      </w:r>
      <w:proofErr w:type="spellStart"/>
      <w:r>
        <w:t>stylized</w:t>
      </w:r>
      <w:proofErr w:type="spellEnd"/>
      <w:r>
        <w:t xml:space="preserve"> </w:t>
      </w:r>
      <w:proofErr w:type="spellStart"/>
      <w:r>
        <w:t>facts</w:t>
      </w:r>
      <w:proofErr w:type="spellEnd"/>
      <w:r>
        <w:t xml:space="preserve">, semblent limiter sa validité. Notamment, ce modèle ne tient pas compte du fait que le cours d’un actif peut, </w:t>
      </w:r>
      <w:r w:rsidR="000075C7">
        <w:t>sous l’impulsion d’un choc</w:t>
      </w:r>
      <w:r>
        <w:t xml:space="preserve">, subir un changement de trajectoire soudain et significatif. </w:t>
      </w:r>
      <w:r w:rsidR="000075C7">
        <w:t>Merton (1976) permet de modéliser cette potentielle discontinuité dans le cours d’un actif en ajoutant une deuxième source de « </w:t>
      </w:r>
      <w:proofErr w:type="spellStart"/>
      <w:r w:rsidR="000075C7">
        <w:t>randomness</w:t>
      </w:r>
      <w:proofErr w:type="spellEnd"/>
      <w:r w:rsidR="000075C7">
        <w:t> » dans l’équation stochastique différentielle</w:t>
      </w:r>
      <w:r w:rsidR="00F122A3">
        <w:t xml:space="preserve"> (1). </w:t>
      </w:r>
      <w:r w:rsidR="00F122A3" w:rsidRPr="00F122A3">
        <w:rPr>
          <w:lang w:val="en-US"/>
        </w:rPr>
        <w:t>Under the risk neutral measure, the so-called « jump-diffusion</w:t>
      </w:r>
      <w:r w:rsidR="00F122A3">
        <w:rPr>
          <w:lang w:val="en-US"/>
        </w:rPr>
        <w:t>” model implies:</w:t>
      </w:r>
    </w:p>
    <w:p w:rsidR="000075C7" w:rsidRPr="00F122A3" w:rsidRDefault="000075C7">
      <w:pPr>
        <w:rPr>
          <w:lang w:val="en-US"/>
        </w:rPr>
      </w:pPr>
    </w:p>
    <w:p w:rsidR="00F122A3" w:rsidRPr="00F122A3" w:rsidRDefault="00F122A3" w:rsidP="00F122A3">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r>
            <w:rPr>
              <w:rFonts w:ascii="Cambria Math" w:eastAsiaTheme="minorEastAsia" w:hAnsi="Cambria Math"/>
            </w:rPr>
            <m:t>(r+</m:t>
          </m:r>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λ</m:t>
          </m:r>
          <m:r>
            <w:rPr>
              <w:rFonts w:ascii="Cambria Math" w:eastAsiaTheme="minorEastAsia" w:hAnsi="Cambria Math"/>
            </w:rPr>
            <m:t>)</m:t>
          </m:r>
          <m:r>
            <w:rPr>
              <w:rFonts w:ascii="Cambria Math" w:hAnsi="Cambria Math"/>
            </w:rPr>
            <m:t>dt+ σ</m:t>
          </m:r>
          <m:sSub>
            <m:sSubPr>
              <m:ctrlPr>
                <w:rPr>
                  <w:rFonts w:ascii="Cambria Math" w:hAnsi="Cambria Math"/>
                  <w:i/>
                </w:rPr>
              </m:ctrlPr>
            </m:sSubPr>
            <m:e>
              <m:r>
                <w:rPr>
                  <w:rFonts w:ascii="Cambria Math" w:hAnsi="Cambria Math"/>
                </w:rPr>
                <m:t>dW</m:t>
              </m:r>
            </m:e>
            <m:sub>
              <m:r>
                <w:rPr>
                  <w:rFonts w:ascii="Cambria Math" w:hAnsi="Cambria Math"/>
                </w:rPr>
                <m:t>t</m:t>
              </m:r>
            </m:sub>
          </m:sSub>
          <m:r>
            <w:rPr>
              <w:rFonts w:ascii="Cambria Math" w:hAnsi="Cambria Math"/>
            </w:rPr>
            <m:t>- γd</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m:oMathPara>
    </w:p>
    <w:p w:rsidR="000075C7" w:rsidRDefault="000075C7">
      <w:pPr>
        <w:rPr>
          <w:rFonts w:eastAsiaTheme="minorEastAsia"/>
          <w:lang w:val="en-US"/>
        </w:rPr>
      </w:pPr>
    </w:p>
    <w:p w:rsidR="00F122A3" w:rsidRDefault="00F122A3">
      <w:pPr>
        <w:rPr>
          <w:rFonts w:eastAsiaTheme="minorEastAsia"/>
        </w:rPr>
      </w:pPr>
      <w:r w:rsidRPr="00F122A3">
        <w:t xml:space="preserve">Dans ce modèle, l’événement de saut </w:t>
      </w:r>
      <w:r>
        <w:t xml:space="preserve">est modélisé par la variable aléatoire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eastAsiaTheme="minorEastAsia"/>
        </w:rPr>
        <w:t xml:space="preserve"> suivant un processus de Poisson. Le paramètre lambda traduit l’intensité du saut, tandis que </w:t>
      </w:r>
      <w:r w:rsidR="002369F9">
        <w:rPr>
          <w:rFonts w:eastAsiaTheme="minorEastAsia"/>
        </w:rPr>
        <w:t>gamma</w:t>
      </w:r>
      <w:r>
        <w:rPr>
          <w:rFonts w:eastAsiaTheme="minorEastAsia"/>
        </w:rPr>
        <w:t xml:space="preserve"> est un paramètre qui capture la magnitude de ce saut, tel que :</w:t>
      </w:r>
    </w:p>
    <w:p w:rsidR="000075C7" w:rsidRPr="002369F9" w:rsidRDefault="002369F9">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γ</m:t>
                  </m:r>
                </m:e>
              </m:d>
            </m:e>
          </m:func>
          <m:r>
            <w:rPr>
              <w:rFonts w:ascii="Cambria Math" w:hAnsi="Cambria Math"/>
            </w:rPr>
            <m:t xml:space="preserve"> ~ N(</m:t>
          </m:r>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oMath>
      </m:oMathPara>
    </w:p>
    <w:p w:rsidR="002369F9" w:rsidRDefault="002369F9"/>
    <w:p w:rsidR="002369F9" w:rsidRDefault="002369F9">
      <w:pPr>
        <w:rPr>
          <w:rFonts w:eastAsiaTheme="minorEastAsia"/>
          <w:lang w:val="en-US"/>
        </w:rPr>
      </w:pPr>
      <w:r w:rsidRPr="002369F9">
        <w:rPr>
          <w:lang w:val="en-US"/>
        </w:rPr>
        <w:t xml:space="preserve">And where </w:t>
      </w:r>
      <m:oMath>
        <m:acc>
          <m:accPr>
            <m:chr m:val="̅"/>
            <m:ctrlPr>
              <w:rPr>
                <w:rFonts w:ascii="Cambria Math" w:eastAsiaTheme="minorEastAsia" w:hAnsi="Cambria Math"/>
                <w:i/>
              </w:rPr>
            </m:ctrlPr>
          </m:accPr>
          <m:e>
            <m:r>
              <w:rPr>
                <w:rFonts w:ascii="Cambria Math" w:eastAsiaTheme="minorEastAsia" w:hAnsi="Cambria Math"/>
              </w:rPr>
              <m:t>γ</m:t>
            </m:r>
          </m:e>
        </m:acc>
      </m:oMath>
      <w:r w:rsidRPr="002369F9">
        <w:rPr>
          <w:rFonts w:eastAsiaTheme="minorEastAsia"/>
          <w:lang w:val="en-US"/>
        </w:rPr>
        <w:t xml:space="preserve"> = E(gamma) = </w:t>
      </w:r>
      <w:r>
        <w:rPr>
          <w:rFonts w:eastAsiaTheme="minorEastAsia"/>
          <w:lang w:val="en-US"/>
        </w:rPr>
        <w:t>e^{\gamma + \delta^2} – 1</w:t>
      </w:r>
    </w:p>
    <w:p w:rsidR="002369F9" w:rsidRDefault="002369F9">
      <w:pPr>
        <w:rPr>
          <w:lang w:val="en-US"/>
        </w:rPr>
      </w:pPr>
    </w:p>
    <w:p w:rsidR="006B4216" w:rsidRDefault="002369F9" w:rsidP="006B4216">
      <w:pPr>
        <w:autoSpaceDE w:val="0"/>
        <w:autoSpaceDN w:val="0"/>
        <w:adjustRightInd w:val="0"/>
        <w:rPr>
          <w:rFonts w:ascii="Times New Roman" w:hAnsi="Times New Roman" w:cs="Times New Roman"/>
          <w:sz w:val="20"/>
          <w:szCs w:val="20"/>
        </w:rPr>
      </w:pPr>
      <w:r w:rsidRPr="002369F9">
        <w:t xml:space="preserve">Ainsi, </w:t>
      </w:r>
      <w:r w:rsidR="006B4216">
        <w:t xml:space="preserve">de nombreux auteurs ont utilisé ce modèle au fil des décennies pour pallier à différents problèmes, comme pour le </w:t>
      </w:r>
      <w:proofErr w:type="spellStart"/>
      <w:r w:rsidR="006B4216">
        <w:t>pricing</w:t>
      </w:r>
      <w:proofErr w:type="spellEnd"/>
      <w:r w:rsidR="006B4216">
        <w:t xml:space="preserve"> de produits dérivés, l’allocation du portefeuille ou encore le management du risque (</w:t>
      </w:r>
      <w:r w:rsidR="006B4216">
        <w:rPr>
          <w:rFonts w:ascii="Times New Roman" w:hAnsi="Times New Roman" w:cs="Times New Roman"/>
          <w:sz w:val="14"/>
          <w:szCs w:val="14"/>
        </w:rPr>
        <w:t>2</w:t>
      </w:r>
      <w:r w:rsidR="006B4216">
        <w:rPr>
          <w:rFonts w:ascii="Times New Roman" w:hAnsi="Times New Roman" w:cs="Times New Roman"/>
          <w:sz w:val="20"/>
          <w:szCs w:val="20"/>
        </w:rPr>
        <w:t xml:space="preserve">See, </w:t>
      </w:r>
      <w:proofErr w:type="spellStart"/>
      <w:r w:rsidR="006B4216">
        <w:rPr>
          <w:rFonts w:ascii="Times New Roman" w:hAnsi="Times New Roman" w:cs="Times New Roman"/>
          <w:sz w:val="20"/>
          <w:szCs w:val="20"/>
        </w:rPr>
        <w:t>e.g</w:t>
      </w:r>
      <w:proofErr w:type="spellEnd"/>
      <w:r w:rsidR="006B4216">
        <w:rPr>
          <w:rFonts w:ascii="Times New Roman" w:hAnsi="Times New Roman" w:cs="Times New Roman"/>
          <w:sz w:val="20"/>
          <w:szCs w:val="20"/>
        </w:rPr>
        <w:t xml:space="preserve">., </w:t>
      </w:r>
      <w:proofErr w:type="spellStart"/>
      <w:r w:rsidR="006B4216">
        <w:rPr>
          <w:rFonts w:ascii="Times New Roman" w:hAnsi="Times New Roman" w:cs="Times New Roman"/>
          <w:sz w:val="20"/>
          <w:szCs w:val="20"/>
        </w:rPr>
        <w:t>Jarrow</w:t>
      </w:r>
      <w:proofErr w:type="spellEnd"/>
      <w:r w:rsidR="006B4216">
        <w:rPr>
          <w:rFonts w:ascii="Times New Roman" w:hAnsi="Times New Roman" w:cs="Times New Roman"/>
          <w:sz w:val="20"/>
          <w:szCs w:val="20"/>
        </w:rPr>
        <w:t xml:space="preserve"> and </w:t>
      </w:r>
      <w:proofErr w:type="spellStart"/>
      <w:r w:rsidR="006B4216">
        <w:rPr>
          <w:rFonts w:ascii="Times New Roman" w:hAnsi="Times New Roman" w:cs="Times New Roman"/>
          <w:sz w:val="20"/>
          <w:szCs w:val="20"/>
        </w:rPr>
        <w:t>Rosenfeld</w:t>
      </w:r>
      <w:proofErr w:type="spellEnd"/>
      <w:r w:rsidR="006B4216">
        <w:rPr>
          <w:rFonts w:ascii="Times New Roman" w:hAnsi="Times New Roman" w:cs="Times New Roman"/>
          <w:sz w:val="20"/>
          <w:szCs w:val="20"/>
        </w:rPr>
        <w:t xml:space="preserve"> (1984), Bates (2000), </w:t>
      </w:r>
      <w:proofErr w:type="spellStart"/>
      <w:r w:rsidR="006B4216">
        <w:rPr>
          <w:rFonts w:ascii="Times New Roman" w:hAnsi="Times New Roman" w:cs="Times New Roman"/>
          <w:sz w:val="20"/>
          <w:szCs w:val="20"/>
        </w:rPr>
        <w:t>Du±e</w:t>
      </w:r>
      <w:proofErr w:type="spellEnd"/>
      <w:r w:rsidR="006B4216">
        <w:rPr>
          <w:rFonts w:ascii="Times New Roman" w:hAnsi="Times New Roman" w:cs="Times New Roman"/>
          <w:sz w:val="20"/>
          <w:szCs w:val="20"/>
        </w:rPr>
        <w:t xml:space="preserve"> and Pan (2001), Andersen, </w:t>
      </w:r>
      <w:proofErr w:type="spellStart"/>
      <w:r w:rsidR="006B4216">
        <w:rPr>
          <w:rFonts w:ascii="Times New Roman" w:hAnsi="Times New Roman" w:cs="Times New Roman"/>
          <w:sz w:val="20"/>
          <w:szCs w:val="20"/>
        </w:rPr>
        <w:t>Benzoni</w:t>
      </w:r>
      <w:proofErr w:type="spellEnd"/>
      <w:r w:rsidR="006B4216">
        <w:rPr>
          <w:rFonts w:ascii="Times New Roman" w:hAnsi="Times New Roman" w:cs="Times New Roman"/>
          <w:sz w:val="20"/>
          <w:szCs w:val="20"/>
        </w:rPr>
        <w:t>, and Lund</w:t>
      </w:r>
    </w:p>
    <w:p w:rsidR="001F483A" w:rsidRDefault="006B4216" w:rsidP="006B4216">
      <w:pPr>
        <w:autoSpaceDE w:val="0"/>
        <w:autoSpaceDN w:val="0"/>
        <w:adjustRightInd w:val="0"/>
      </w:pPr>
      <w:r w:rsidRPr="006B4216">
        <w:rPr>
          <w:rFonts w:ascii="Times New Roman" w:hAnsi="Times New Roman" w:cs="Times New Roman"/>
          <w:sz w:val="20"/>
          <w:szCs w:val="20"/>
          <w:lang w:val="en-US"/>
        </w:rPr>
        <w:t xml:space="preserve">(2002), Liu, </w:t>
      </w:r>
      <w:proofErr w:type="spellStart"/>
      <w:r w:rsidRPr="006B4216">
        <w:rPr>
          <w:rFonts w:ascii="Times New Roman" w:hAnsi="Times New Roman" w:cs="Times New Roman"/>
          <w:sz w:val="20"/>
          <w:szCs w:val="20"/>
          <w:lang w:val="en-US"/>
        </w:rPr>
        <w:t>Longsta</w:t>
      </w:r>
      <w:proofErr w:type="spellEnd"/>
      <w:r w:rsidRPr="006B4216">
        <w:rPr>
          <w:rFonts w:ascii="Times New Roman" w:hAnsi="Times New Roman" w:cs="Times New Roman"/>
          <w:sz w:val="20"/>
          <w:szCs w:val="20"/>
          <w:lang w:val="en-US"/>
        </w:rPr>
        <w:t xml:space="preserve">®, and Pan (2003), </w:t>
      </w:r>
      <w:proofErr w:type="spellStart"/>
      <w:r w:rsidRPr="006B4216">
        <w:rPr>
          <w:rFonts w:ascii="Times New Roman" w:hAnsi="Times New Roman" w:cs="Times New Roman"/>
          <w:sz w:val="20"/>
          <w:szCs w:val="20"/>
          <w:lang w:val="en-US"/>
        </w:rPr>
        <w:t>Eraker</w:t>
      </w:r>
      <w:proofErr w:type="spellEnd"/>
      <w:r w:rsidRPr="006B4216">
        <w:rPr>
          <w:rFonts w:ascii="Times New Roman" w:hAnsi="Times New Roman" w:cs="Times New Roman"/>
          <w:sz w:val="20"/>
          <w:szCs w:val="20"/>
          <w:lang w:val="en-US"/>
        </w:rPr>
        <w:t xml:space="preserve">, Johannes, and Polson (2003), and </w:t>
      </w:r>
      <w:proofErr w:type="spellStart"/>
      <w:r w:rsidRPr="006B4216">
        <w:rPr>
          <w:rFonts w:ascii="Times New Roman" w:hAnsi="Times New Roman" w:cs="Times New Roman"/>
          <w:sz w:val="20"/>
          <w:szCs w:val="20"/>
          <w:lang w:val="en-US"/>
        </w:rPr>
        <w:t>AÄÑt-Sahalia</w:t>
      </w:r>
      <w:proofErr w:type="spellEnd"/>
      <w:r w:rsidRPr="006B4216">
        <w:rPr>
          <w:rFonts w:ascii="Times New Roman" w:hAnsi="Times New Roman" w:cs="Times New Roman"/>
          <w:sz w:val="20"/>
          <w:szCs w:val="20"/>
          <w:lang w:val="en-US"/>
        </w:rPr>
        <w:t>, Cacho-Diaz and</w:t>
      </w:r>
      <w:r>
        <w:rPr>
          <w:rFonts w:ascii="Times New Roman" w:hAnsi="Times New Roman" w:cs="Times New Roman"/>
          <w:sz w:val="20"/>
          <w:szCs w:val="20"/>
          <w:lang w:val="en-US"/>
        </w:rPr>
        <w:t xml:space="preserve"> </w:t>
      </w:r>
      <w:r w:rsidRPr="006B4216">
        <w:rPr>
          <w:rFonts w:ascii="Times New Roman" w:hAnsi="Times New Roman" w:cs="Times New Roman"/>
          <w:sz w:val="20"/>
          <w:szCs w:val="20"/>
          <w:lang w:val="en-US"/>
        </w:rPr>
        <w:t>Hurd (2006), among others.</w:t>
      </w:r>
      <w:r>
        <w:rPr>
          <w:rFonts w:ascii="Times New Roman" w:hAnsi="Times New Roman" w:cs="Times New Roman"/>
          <w:sz w:val="20"/>
          <w:szCs w:val="20"/>
          <w:lang w:val="en-US"/>
        </w:rPr>
        <w:t>)</w:t>
      </w:r>
      <w:r w:rsidRPr="006B4216">
        <w:rPr>
          <w:lang w:val="en-US"/>
        </w:rPr>
        <w:t xml:space="preserve"> </w:t>
      </w:r>
      <w:r>
        <w:t xml:space="preserve">Dans notre cas, notre intérêt se porte sur la possibilité de ces modèles d’incorporer les risques climatiques in </w:t>
      </w:r>
      <w:proofErr w:type="spellStart"/>
      <w:r>
        <w:t>asset</w:t>
      </w:r>
      <w:proofErr w:type="spellEnd"/>
      <w:r>
        <w:t xml:space="preserve"> </w:t>
      </w:r>
      <w:proofErr w:type="spellStart"/>
      <w:r>
        <w:t>pricing</w:t>
      </w:r>
      <w:proofErr w:type="spellEnd"/>
      <w:r>
        <w:t xml:space="preserve">. Les risques climatiques peuvent </w:t>
      </w:r>
      <w:r w:rsidR="00181166">
        <w:t xml:space="preserve">être </w:t>
      </w:r>
      <w:r>
        <w:t>incorporé</w:t>
      </w:r>
      <w:r w:rsidR="00181166">
        <w:t xml:space="preserve">s dans une classe de risques plus larges, celle des « rare </w:t>
      </w:r>
      <w:proofErr w:type="spellStart"/>
      <w:r w:rsidR="00181166">
        <w:t>disaster</w:t>
      </w:r>
      <w:proofErr w:type="spellEnd"/>
      <w:r w:rsidR="00181166">
        <w:t xml:space="preserve"> </w:t>
      </w:r>
      <w:proofErr w:type="spellStart"/>
      <w:r w:rsidR="00181166">
        <w:t>risks</w:t>
      </w:r>
      <w:proofErr w:type="spellEnd"/>
      <w:r w:rsidR="00181166">
        <w:t xml:space="preserve"> ». Les travaux de </w:t>
      </w:r>
      <w:proofErr w:type="spellStart"/>
      <w:r w:rsidR="00181166">
        <w:t>Tsai</w:t>
      </w:r>
      <w:proofErr w:type="spellEnd"/>
      <w:r w:rsidR="00181166">
        <w:t xml:space="preserve"> and </w:t>
      </w:r>
      <w:proofErr w:type="spellStart"/>
      <w:r w:rsidR="00181166">
        <w:t>Wachter</w:t>
      </w:r>
      <w:proofErr w:type="spellEnd"/>
      <w:r w:rsidR="00181166">
        <w:t xml:space="preserve"> (2015) furent les pionniers de la prise en compte de telles risques for </w:t>
      </w:r>
      <w:proofErr w:type="spellStart"/>
      <w:r w:rsidR="00181166">
        <w:t>asset</w:t>
      </w:r>
      <w:proofErr w:type="spellEnd"/>
      <w:r w:rsidR="00181166">
        <w:t xml:space="preserve"> </w:t>
      </w:r>
      <w:proofErr w:type="spellStart"/>
      <w:r w:rsidR="00181166">
        <w:t>pricing</w:t>
      </w:r>
      <w:proofErr w:type="spellEnd"/>
      <w:r w:rsidR="00181166">
        <w:t>. Ils montrent notamment l’existence d’une « </w:t>
      </w:r>
      <w:proofErr w:type="spellStart"/>
      <w:r w:rsidR="00181166">
        <w:t>disaster</w:t>
      </w:r>
      <w:proofErr w:type="spellEnd"/>
      <w:r w:rsidR="00181166">
        <w:t xml:space="preserve"> </w:t>
      </w:r>
      <w:proofErr w:type="spellStart"/>
      <w:r w:rsidR="00181166">
        <w:t>risk</w:t>
      </w:r>
      <w:proofErr w:type="spellEnd"/>
      <w:r w:rsidR="00181166">
        <w:t xml:space="preserve"> </w:t>
      </w:r>
      <w:proofErr w:type="spellStart"/>
      <w:r w:rsidR="00181166">
        <w:t>premia</w:t>
      </w:r>
      <w:proofErr w:type="spellEnd"/>
      <w:r w:rsidR="00181166">
        <w:t xml:space="preserve"> », </w:t>
      </w:r>
      <w:r w:rsidR="00CD4F0D">
        <w:t xml:space="preserve">qui permet une meilleure compréhension des </w:t>
      </w:r>
      <w:proofErr w:type="spellStart"/>
      <w:r w:rsidR="00CD4F0D">
        <w:t>asset</w:t>
      </w:r>
      <w:proofErr w:type="spellEnd"/>
      <w:r w:rsidR="00CD4F0D">
        <w:t xml:space="preserve"> </w:t>
      </w:r>
      <w:proofErr w:type="spellStart"/>
      <w:r w:rsidR="00CD4F0D">
        <w:t>pricing</w:t>
      </w:r>
      <w:proofErr w:type="spellEnd"/>
      <w:r w:rsidR="00CD4F0D">
        <w:t xml:space="preserve"> puzzles. Empiriquement, ils montrent que la prise en compte de phénomènes </w:t>
      </w:r>
      <w:proofErr w:type="spellStart"/>
      <w:r w:rsidR="00CD4F0D">
        <w:t>castrophiques</w:t>
      </w:r>
      <w:proofErr w:type="spellEnd"/>
      <w:r w:rsidR="00CD4F0D">
        <w:t xml:space="preserve"> comme des guerres ou des crises économiques dans le </w:t>
      </w:r>
      <w:proofErr w:type="spellStart"/>
      <w:r w:rsidR="00CD4F0D">
        <w:t>pricing</w:t>
      </w:r>
      <w:proofErr w:type="spellEnd"/>
      <w:r w:rsidR="00CD4F0D">
        <w:t xml:space="preserve"> des </w:t>
      </w:r>
      <w:proofErr w:type="spellStart"/>
      <w:r w:rsidR="00CD4F0D">
        <w:t>asset</w:t>
      </w:r>
      <w:proofErr w:type="spellEnd"/>
      <w:r w:rsidR="00CD4F0D">
        <w:t xml:space="preserve"> permet de fit </w:t>
      </w:r>
      <w:proofErr w:type="spellStart"/>
      <w:r w:rsidR="00CD4F0D">
        <w:t>with</w:t>
      </w:r>
      <w:proofErr w:type="spellEnd"/>
      <w:r w:rsidR="00CD4F0D">
        <w:t xml:space="preserve"> the </w:t>
      </w:r>
      <w:proofErr w:type="spellStart"/>
      <w:r w:rsidR="00CD4F0D">
        <w:t>observed</w:t>
      </w:r>
      <w:proofErr w:type="spellEnd"/>
      <w:r w:rsidR="00CD4F0D">
        <w:t xml:space="preserve"> post-WWII </w:t>
      </w:r>
      <w:proofErr w:type="spellStart"/>
      <w:r w:rsidR="001F483A">
        <w:t>equity</w:t>
      </w:r>
      <w:proofErr w:type="spellEnd"/>
      <w:r w:rsidR="001F483A">
        <w:t xml:space="preserve"> premium and stock </w:t>
      </w:r>
      <w:proofErr w:type="spellStart"/>
      <w:r w:rsidR="001F483A">
        <w:t>market</w:t>
      </w:r>
      <w:proofErr w:type="spellEnd"/>
      <w:r w:rsidR="001F483A">
        <w:t xml:space="preserve"> </w:t>
      </w:r>
      <w:proofErr w:type="spellStart"/>
      <w:r w:rsidR="001F483A">
        <w:t>volatility</w:t>
      </w:r>
      <w:proofErr w:type="spellEnd"/>
      <w:r w:rsidR="001F483A">
        <w:t xml:space="preserve"> in the US.</w:t>
      </w:r>
      <w:r w:rsidR="00CD4F0D">
        <w:t xml:space="preserve"> </w:t>
      </w:r>
      <w:proofErr w:type="spellStart"/>
      <w:r w:rsidR="00CD4F0D">
        <w:t>Karydas</w:t>
      </w:r>
      <w:proofErr w:type="spellEnd"/>
      <w:r w:rsidR="00CD4F0D">
        <w:t xml:space="preserve"> and </w:t>
      </w:r>
      <w:proofErr w:type="spellStart"/>
      <w:r w:rsidR="00CD4F0D">
        <w:t>Xepapadeas</w:t>
      </w:r>
      <w:proofErr w:type="spellEnd"/>
      <w:r w:rsidR="00CD4F0D">
        <w:t xml:space="preserve"> (2018) précisent les implications de ce modèle dans le cas où des </w:t>
      </w:r>
      <w:proofErr w:type="spellStart"/>
      <w:r w:rsidR="00CD4F0D">
        <w:t>disaster</w:t>
      </w:r>
      <w:proofErr w:type="spellEnd"/>
      <w:r w:rsidR="00CD4F0D">
        <w:t xml:space="preserve"> </w:t>
      </w:r>
      <w:proofErr w:type="spellStart"/>
      <w:r w:rsidR="00CD4F0D">
        <w:t>risks</w:t>
      </w:r>
      <w:proofErr w:type="spellEnd"/>
      <w:r w:rsidR="00CD4F0D">
        <w:t xml:space="preserve"> </w:t>
      </w:r>
      <w:r w:rsidR="00CD4F0D">
        <w:lastRenderedPageBreak/>
        <w:t xml:space="preserve">sont précisément les risques financiers liés au changement climatique. Ils modélisent </w:t>
      </w:r>
      <w:r w:rsidR="001F483A">
        <w:t xml:space="preserve">alors le prix des actifs comme suit : </w:t>
      </w:r>
    </w:p>
    <w:p w:rsidR="001F483A" w:rsidRDefault="001F483A" w:rsidP="006B4216">
      <w:pPr>
        <w:autoSpaceDE w:val="0"/>
        <w:autoSpaceDN w:val="0"/>
        <w:adjustRightInd w:val="0"/>
      </w:pPr>
    </w:p>
    <w:p w:rsidR="008F2AB7" w:rsidRDefault="008F2AB7" w:rsidP="008F2AB7">
      <w:pPr>
        <w:autoSpaceDE w:val="0"/>
        <w:autoSpaceDN w:val="0"/>
        <w:adjustRightInd w:val="0"/>
        <w:jc w:val="center"/>
        <w:rPr>
          <w:rFonts w:ascii="Calibri" w:hAnsi="Calibri" w:cs="Calibri"/>
        </w:rPr>
      </w:pPr>
      <w:r>
        <w:rPr>
          <w:rFonts w:ascii="Calibri" w:hAnsi="Calibri" w:cs="Calibri"/>
          <w:noProof/>
        </w:rPr>
        <w:drawing>
          <wp:inline distT="0" distB="0" distL="0" distR="0">
            <wp:extent cx="3479983" cy="3550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5-29 à 13.30.52.png"/>
                    <pic:cNvPicPr/>
                  </pic:nvPicPr>
                  <pic:blipFill>
                    <a:blip r:embed="rId4">
                      <a:extLst>
                        <a:ext uri="{28A0092B-C50C-407E-A947-70E740481C1C}">
                          <a14:useLocalDpi xmlns:a14="http://schemas.microsoft.com/office/drawing/2010/main" val="0"/>
                        </a:ext>
                      </a:extLst>
                    </a:blip>
                    <a:stretch>
                      <a:fillRect/>
                    </a:stretch>
                  </pic:blipFill>
                  <pic:spPr>
                    <a:xfrm>
                      <a:off x="0" y="0"/>
                      <a:ext cx="3579383" cy="365203"/>
                    </a:xfrm>
                    <a:prstGeom prst="rect">
                      <a:avLst/>
                    </a:prstGeom>
                  </pic:spPr>
                </pic:pic>
              </a:graphicData>
            </a:graphic>
          </wp:inline>
        </w:drawing>
      </w:r>
    </w:p>
    <w:p w:rsidR="008F2AB7" w:rsidRDefault="008F2AB7" w:rsidP="008F2AB7">
      <w:pPr>
        <w:autoSpaceDE w:val="0"/>
        <w:autoSpaceDN w:val="0"/>
        <w:adjustRightInd w:val="0"/>
        <w:rPr>
          <w:rFonts w:ascii="Calibri" w:hAnsi="Calibri" w:cs="Calibri"/>
        </w:rPr>
      </w:pPr>
    </w:p>
    <w:p w:rsidR="008F2AB7" w:rsidRDefault="008F2AB7" w:rsidP="008F2AB7">
      <w:pPr>
        <w:autoSpaceDE w:val="0"/>
        <w:autoSpaceDN w:val="0"/>
        <w:adjustRightInd w:val="0"/>
        <w:rPr>
          <w:rFonts w:ascii="Calibri" w:hAnsi="Calibri" w:cs="Calibri"/>
        </w:rPr>
      </w:pPr>
      <w:r>
        <w:rPr>
          <w:rFonts w:ascii="Calibri" w:hAnsi="Calibri" w:cs="Calibri"/>
        </w:rPr>
        <w:t xml:space="preserve">Où Y^M est un Poisson jump </w:t>
      </w:r>
      <w:proofErr w:type="spellStart"/>
      <w:r>
        <w:rPr>
          <w:rFonts w:ascii="Calibri" w:hAnsi="Calibri" w:cs="Calibri"/>
        </w:rPr>
        <w:t>process</w:t>
      </w:r>
      <w:proofErr w:type="spellEnd"/>
      <w:r>
        <w:rPr>
          <w:rFonts w:ascii="Calibri" w:hAnsi="Calibri" w:cs="Calibri"/>
        </w:rPr>
        <w:t xml:space="preserve"> qui traduit l’apparition d’un choc macroéconomique, tandis que  Y^E est un Poisson jump </w:t>
      </w:r>
      <w:proofErr w:type="spellStart"/>
      <w:r>
        <w:rPr>
          <w:rFonts w:ascii="Calibri" w:hAnsi="Calibri" w:cs="Calibri"/>
        </w:rPr>
        <w:t>process</w:t>
      </w:r>
      <w:proofErr w:type="spellEnd"/>
      <w:r>
        <w:rPr>
          <w:rFonts w:ascii="Calibri" w:hAnsi="Calibri" w:cs="Calibri"/>
        </w:rPr>
        <w:t xml:space="preserve"> modélisant un choc environnemental. </w:t>
      </w:r>
    </w:p>
    <w:p w:rsidR="005826EE" w:rsidRDefault="005826EE" w:rsidP="008F2AB7">
      <w:pPr>
        <w:autoSpaceDE w:val="0"/>
        <w:autoSpaceDN w:val="0"/>
        <w:adjustRightInd w:val="0"/>
        <w:rPr>
          <w:rFonts w:ascii="Calibri" w:hAnsi="Calibri" w:cs="Calibri"/>
        </w:rPr>
      </w:pPr>
    </w:p>
    <w:p w:rsidR="003B684E" w:rsidRDefault="005826EE" w:rsidP="008F2AB7">
      <w:pPr>
        <w:autoSpaceDE w:val="0"/>
        <w:autoSpaceDN w:val="0"/>
        <w:adjustRightInd w:val="0"/>
        <w:rPr>
          <w:rFonts w:ascii="Calibri" w:hAnsi="Calibri" w:cs="Calibri"/>
        </w:rPr>
      </w:pPr>
      <w:r>
        <w:rPr>
          <w:rFonts w:ascii="Calibri" w:hAnsi="Calibri" w:cs="Calibri"/>
        </w:rPr>
        <w:t xml:space="preserve">Le travail de </w:t>
      </w:r>
      <w:proofErr w:type="spellStart"/>
      <w:r>
        <w:rPr>
          <w:rFonts w:ascii="Calibri" w:hAnsi="Calibri" w:cs="Calibri"/>
        </w:rPr>
        <w:t>Karydas</w:t>
      </w:r>
      <w:proofErr w:type="spellEnd"/>
      <w:r>
        <w:rPr>
          <w:rFonts w:ascii="Calibri" w:hAnsi="Calibri" w:cs="Calibri"/>
        </w:rPr>
        <w:t xml:space="preserve"> &amp; </w:t>
      </w:r>
      <w:proofErr w:type="spellStart"/>
      <w:r>
        <w:rPr>
          <w:rFonts w:ascii="Calibri" w:hAnsi="Calibri" w:cs="Calibri"/>
        </w:rPr>
        <w:t>Xepapadeas</w:t>
      </w:r>
      <w:proofErr w:type="spellEnd"/>
      <w:r>
        <w:rPr>
          <w:rFonts w:ascii="Calibri" w:hAnsi="Calibri" w:cs="Calibri"/>
        </w:rPr>
        <w:t xml:space="preserve"> consiste à modéliser un système dynamique où l’investisseur représentatif a le choix d’allouer son capital, à chaque période, entre un actif « </w:t>
      </w:r>
      <w:proofErr w:type="spellStart"/>
      <w:r>
        <w:rPr>
          <w:rFonts w:ascii="Calibri" w:hAnsi="Calibri" w:cs="Calibri"/>
        </w:rPr>
        <w:t>brown</w:t>
      </w:r>
      <w:proofErr w:type="spellEnd"/>
      <w:r>
        <w:rPr>
          <w:rFonts w:ascii="Calibri" w:hAnsi="Calibri" w:cs="Calibri"/>
        </w:rPr>
        <w:t xml:space="preserve"> », soumis à ces deux chocs, et un actif « green », soumis uniquement aux chocs macroéconomiques. Ils modélisent également dans ce système l’évolution du climat au fil </w:t>
      </w:r>
      <w:r w:rsidR="003B684E">
        <w:rPr>
          <w:rFonts w:ascii="Calibri" w:hAnsi="Calibri" w:cs="Calibri"/>
        </w:rPr>
        <w:t xml:space="preserve">des décennies, en prenant en compte les différents scénarios par le GIEC. Leur contribution tient au fait qu’ils </w:t>
      </w:r>
      <w:proofErr w:type="spellStart"/>
      <w:r w:rsidR="003B684E">
        <w:rPr>
          <w:rFonts w:ascii="Calibri" w:hAnsi="Calibri" w:cs="Calibri"/>
        </w:rPr>
        <w:t>endogéneisent</w:t>
      </w:r>
      <w:proofErr w:type="spellEnd"/>
      <w:r w:rsidR="003B684E">
        <w:rPr>
          <w:rFonts w:ascii="Calibri" w:hAnsi="Calibri" w:cs="Calibri"/>
        </w:rPr>
        <w:t xml:space="preserve"> l’évolution du changement climatique au comportement de l’investisseur. Ainsi, plus l’investisseur alloue une partie importante de son capital à des actifs « </w:t>
      </w:r>
      <w:proofErr w:type="spellStart"/>
      <w:r w:rsidR="003B684E">
        <w:rPr>
          <w:rFonts w:ascii="Calibri" w:hAnsi="Calibri" w:cs="Calibri"/>
        </w:rPr>
        <w:t>browns</w:t>
      </w:r>
      <w:proofErr w:type="spellEnd"/>
      <w:r w:rsidR="003B684E">
        <w:rPr>
          <w:rFonts w:ascii="Calibri" w:hAnsi="Calibri" w:cs="Calibri"/>
        </w:rPr>
        <w:t xml:space="preserve"> », plus </w:t>
      </w:r>
      <w:proofErr w:type="spellStart"/>
      <w:r w:rsidR="003B684E">
        <w:rPr>
          <w:rFonts w:ascii="Calibri" w:hAnsi="Calibri" w:cs="Calibri"/>
        </w:rPr>
        <w:t xml:space="preserve">la </w:t>
      </w:r>
      <w:proofErr w:type="spellEnd"/>
      <w:r w:rsidR="003B684E">
        <w:rPr>
          <w:rFonts w:ascii="Calibri" w:hAnsi="Calibri" w:cs="Calibri"/>
        </w:rPr>
        <w:t xml:space="preserve">probabilité d’un choc environnemental augmente. Ils montrent finalement que dans le pire des scénarios d’émissions de CO2 envisagé par le climat, l’allocation de l’investisseur dans l’actif </w:t>
      </w:r>
      <w:proofErr w:type="spellStart"/>
      <w:r w:rsidR="003B684E">
        <w:rPr>
          <w:rFonts w:ascii="Calibri" w:hAnsi="Calibri" w:cs="Calibri"/>
        </w:rPr>
        <w:t>brown</w:t>
      </w:r>
      <w:proofErr w:type="spellEnd"/>
      <w:r w:rsidR="003B684E">
        <w:rPr>
          <w:rFonts w:ascii="Calibri" w:hAnsi="Calibri" w:cs="Calibri"/>
        </w:rPr>
        <w:t xml:space="preserve"> devient nul à la fin du siècle.</w:t>
      </w:r>
    </w:p>
    <w:p w:rsidR="003B684E" w:rsidRDefault="003B684E" w:rsidP="008F2AB7">
      <w:pPr>
        <w:autoSpaceDE w:val="0"/>
        <w:autoSpaceDN w:val="0"/>
        <w:adjustRightInd w:val="0"/>
        <w:rPr>
          <w:rFonts w:ascii="Calibri" w:hAnsi="Calibri" w:cs="Calibri"/>
        </w:rPr>
      </w:pPr>
    </w:p>
    <w:p w:rsidR="005826EE" w:rsidRPr="001F483A" w:rsidRDefault="003B684E" w:rsidP="008F2AB7">
      <w:pPr>
        <w:autoSpaceDE w:val="0"/>
        <w:autoSpaceDN w:val="0"/>
        <w:adjustRightInd w:val="0"/>
        <w:rPr>
          <w:rFonts w:ascii="Calibri" w:hAnsi="Calibri" w:cs="Calibri"/>
        </w:rPr>
      </w:pPr>
      <w:r>
        <w:rPr>
          <w:rFonts w:ascii="Calibri" w:hAnsi="Calibri" w:cs="Calibri"/>
        </w:rPr>
        <w:t xml:space="preserve">Dans cette section, nous souhaitons vérifier si, empiriquement, le modèle de </w:t>
      </w:r>
      <w:proofErr w:type="spellStart"/>
      <w:r>
        <w:rPr>
          <w:rFonts w:ascii="Calibri" w:hAnsi="Calibri" w:cs="Calibri"/>
        </w:rPr>
        <w:t>Karydas</w:t>
      </w:r>
      <w:proofErr w:type="spellEnd"/>
      <w:r>
        <w:rPr>
          <w:rFonts w:ascii="Calibri" w:hAnsi="Calibri" w:cs="Calibri"/>
        </w:rPr>
        <w:t xml:space="preserve"> &amp; </w:t>
      </w:r>
      <w:proofErr w:type="spellStart"/>
      <w:r>
        <w:rPr>
          <w:rFonts w:ascii="Calibri" w:hAnsi="Calibri" w:cs="Calibri"/>
        </w:rPr>
        <w:t>Xepapadeas</w:t>
      </w:r>
      <w:proofErr w:type="spellEnd"/>
      <w:r>
        <w:rPr>
          <w:rFonts w:ascii="Calibri" w:hAnsi="Calibri" w:cs="Calibri"/>
        </w:rPr>
        <w:t xml:space="preserve"> peut être vérifié. Le but sera de tester si des chocs environnementaux peuvent se matérialiser par des sauts dans le prix des actifs. Notre étude empirique se divise en deux parties, selon les deux types de risque environnementaux. Premièrement, nous testons si </w:t>
      </w:r>
      <w:r w:rsidR="00E07523">
        <w:rPr>
          <w:rFonts w:ascii="Calibri" w:hAnsi="Calibri" w:cs="Calibri"/>
        </w:rPr>
        <w:t xml:space="preserve">les risques de transition peuvent être vecteurs de sauts dans le prix des actifs. Pour ce faire, nous étudions si les annonces de politique carbone restrictive (i.e. </w:t>
      </w:r>
      <w:proofErr w:type="spellStart"/>
      <w:r w:rsidR="00E07523">
        <w:rPr>
          <w:rFonts w:ascii="Calibri" w:hAnsi="Calibri" w:cs="Calibri"/>
        </w:rPr>
        <w:t>carbon</w:t>
      </w:r>
      <w:proofErr w:type="spellEnd"/>
      <w:r w:rsidR="00E07523">
        <w:rPr>
          <w:rFonts w:ascii="Calibri" w:hAnsi="Calibri" w:cs="Calibri"/>
        </w:rPr>
        <w:t xml:space="preserve"> </w:t>
      </w:r>
      <w:proofErr w:type="spellStart"/>
      <w:r w:rsidR="00E07523">
        <w:rPr>
          <w:rFonts w:ascii="Calibri" w:hAnsi="Calibri" w:cs="Calibri"/>
        </w:rPr>
        <w:t>tax</w:t>
      </w:r>
      <w:proofErr w:type="spellEnd"/>
      <w:r w:rsidR="00E07523">
        <w:rPr>
          <w:rFonts w:ascii="Calibri" w:hAnsi="Calibri" w:cs="Calibri"/>
        </w:rPr>
        <w:t xml:space="preserve">) provoquent des sauts dans les rendements des actions d’entreprises potentiellement impactés par ce type de politique. Le secteur de l’électricité étant considéré comme l’un des plus </w:t>
      </w:r>
      <w:r w:rsidR="00613832">
        <w:rPr>
          <w:rFonts w:ascii="Calibri" w:hAnsi="Calibri" w:cs="Calibri"/>
        </w:rPr>
        <w:t>exposés aux limitations de C02, nous considérons</w:t>
      </w:r>
      <w:r w:rsidR="00E07523">
        <w:rPr>
          <w:rFonts w:ascii="Calibri" w:hAnsi="Calibri" w:cs="Calibri"/>
        </w:rPr>
        <w:t xml:space="preserve"> les rendements journaliers des actions de 15 </w:t>
      </w:r>
      <w:proofErr w:type="spellStart"/>
      <w:r w:rsidR="00E07523">
        <w:rPr>
          <w:rFonts w:ascii="Calibri" w:hAnsi="Calibri" w:cs="Calibri"/>
        </w:rPr>
        <w:t>european</w:t>
      </w:r>
      <w:proofErr w:type="spellEnd"/>
      <w:r w:rsidR="00E07523">
        <w:rPr>
          <w:rFonts w:ascii="Calibri" w:hAnsi="Calibri" w:cs="Calibri"/>
        </w:rPr>
        <w:t xml:space="preserve"> </w:t>
      </w:r>
      <w:proofErr w:type="spellStart"/>
      <w:r w:rsidR="00E07523">
        <w:rPr>
          <w:rFonts w:ascii="Calibri" w:hAnsi="Calibri" w:cs="Calibri"/>
        </w:rPr>
        <w:t>eletric</w:t>
      </w:r>
      <w:proofErr w:type="spellEnd"/>
      <w:r w:rsidR="00E07523">
        <w:rPr>
          <w:rFonts w:ascii="Calibri" w:hAnsi="Calibri" w:cs="Calibri"/>
        </w:rPr>
        <w:t xml:space="preserve"> utilities</w:t>
      </w:r>
      <w:r w:rsidR="00613832">
        <w:rPr>
          <w:rFonts w:ascii="Calibri" w:hAnsi="Calibri" w:cs="Calibri"/>
        </w:rPr>
        <w:t>. Nous récoltons les dates d’annonce et/ou de mise en place des taxe carbone des différents pays manuellement, via des articles de journaux et des communiqués gouvernementaux officiels. Le prix des actions est récolté depuis Yahoo Finance.</w:t>
      </w:r>
      <w:bookmarkStart w:id="0" w:name="_GoBack"/>
      <w:bookmarkEnd w:id="0"/>
      <w:r w:rsidR="00E07523">
        <w:rPr>
          <w:rFonts w:ascii="Calibri" w:hAnsi="Calibri" w:cs="Calibri"/>
        </w:rPr>
        <w:t xml:space="preserve"> </w:t>
      </w:r>
    </w:p>
    <w:sectPr w:rsidR="005826EE" w:rsidRPr="001F483A"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43"/>
    <w:rsid w:val="000075C7"/>
    <w:rsid w:val="00181166"/>
    <w:rsid w:val="001F483A"/>
    <w:rsid w:val="002369F9"/>
    <w:rsid w:val="003B684E"/>
    <w:rsid w:val="005826EE"/>
    <w:rsid w:val="005A6AA9"/>
    <w:rsid w:val="00613832"/>
    <w:rsid w:val="006B4216"/>
    <w:rsid w:val="00751220"/>
    <w:rsid w:val="008017FC"/>
    <w:rsid w:val="00884178"/>
    <w:rsid w:val="008C46BB"/>
    <w:rsid w:val="008F2AB7"/>
    <w:rsid w:val="00A608EA"/>
    <w:rsid w:val="00BB6A79"/>
    <w:rsid w:val="00C84616"/>
    <w:rsid w:val="00CD4F0D"/>
    <w:rsid w:val="00DF2543"/>
    <w:rsid w:val="00E07523"/>
    <w:rsid w:val="00E9219E"/>
    <w:rsid w:val="00EC011C"/>
    <w:rsid w:val="00F12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270BA4A"/>
  <w15:chartTrackingRefBased/>
  <w15:docId w15:val="{27A6B471-F926-C54F-AF8C-20EDC4CF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846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794</Words>
  <Characters>4373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2020-05-29T10:00:00Z</dcterms:created>
  <dcterms:modified xsi:type="dcterms:W3CDTF">2020-05-29T14:12:00Z</dcterms:modified>
</cp:coreProperties>
</file>