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A7D" w:rsidRDefault="00465F23" w:rsidP="00465F23">
      <w:pPr>
        <w:pStyle w:val="Paragraphedeliste"/>
        <w:numPr>
          <w:ilvl w:val="0"/>
          <w:numId w:val="1"/>
        </w:numPr>
      </w:pPr>
      <w:r>
        <w:t>Identifier les risques climatiques dans un portefeuille</w:t>
      </w:r>
    </w:p>
    <w:p w:rsidR="00465F23" w:rsidRDefault="00465F23" w:rsidP="00465F23">
      <w:pPr>
        <w:pStyle w:val="Paragraphedeliste"/>
        <w:numPr>
          <w:ilvl w:val="0"/>
          <w:numId w:val="1"/>
        </w:numPr>
      </w:pPr>
      <w:r>
        <w:t>Intégrer les risques climatiques dans les décisions d’investissement</w:t>
      </w:r>
    </w:p>
    <w:p w:rsidR="00465F23" w:rsidRDefault="00465F23" w:rsidP="00465F23">
      <w:pPr>
        <w:pStyle w:val="Paragraphedeliste"/>
        <w:numPr>
          <w:ilvl w:val="0"/>
          <w:numId w:val="1"/>
        </w:numPr>
      </w:pPr>
      <w:r>
        <w:t>Quantifier les risques climatiques dans la performance d’un portefeuille</w:t>
      </w:r>
    </w:p>
    <w:p w:rsidR="00465F23" w:rsidRDefault="00465F23" w:rsidP="00465F23">
      <w:pPr>
        <w:pStyle w:val="Paragraphedeliste"/>
        <w:numPr>
          <w:ilvl w:val="0"/>
          <w:numId w:val="1"/>
        </w:numPr>
      </w:pPr>
      <w:r>
        <w:t xml:space="preserve">Risques climatiques -&gt; profondes implications pour les assurances, la stabilité financière et l’économie : Mark </w:t>
      </w:r>
      <w:proofErr w:type="spellStart"/>
      <w:r>
        <w:t>Carney</w:t>
      </w:r>
      <w:proofErr w:type="spellEnd"/>
      <w:r>
        <w:t>, gouverneur de la BOE</w:t>
      </w:r>
    </w:p>
    <w:p w:rsidR="00465F23" w:rsidRDefault="00465F23" w:rsidP="00465F23">
      <w:pPr>
        <w:pStyle w:val="Paragraphedeliste"/>
        <w:numPr>
          <w:ilvl w:val="0"/>
          <w:numId w:val="1"/>
        </w:numPr>
      </w:pPr>
      <w:r>
        <w:t>Augmenter la transparence rend les marchés plus efficients, les économies plus stables et résilientes : Michael Bloomberg</w:t>
      </w:r>
    </w:p>
    <w:p w:rsidR="00465F23" w:rsidRDefault="00465F23" w:rsidP="00465F23">
      <w:pPr>
        <w:pStyle w:val="Paragraphedeliste"/>
        <w:numPr>
          <w:ilvl w:val="0"/>
          <w:numId w:val="1"/>
        </w:numPr>
        <w:rPr>
          <w:lang w:val="en-US"/>
        </w:rPr>
      </w:pPr>
      <w:r w:rsidRPr="00465F23">
        <w:rPr>
          <w:lang w:val="en-US"/>
        </w:rPr>
        <w:t xml:space="preserve">« The more we invest in foresight, the less we regret in </w:t>
      </w:r>
      <w:r>
        <w:rPr>
          <w:lang w:val="en-US"/>
        </w:rPr>
        <w:t>hindsight” : Mark Carney</w:t>
      </w:r>
    </w:p>
    <w:p w:rsidR="00BC2502" w:rsidRDefault="00BC2502" w:rsidP="00BC2502">
      <w:pPr>
        <w:rPr>
          <w:lang w:val="en-US"/>
        </w:rPr>
      </w:pPr>
    </w:p>
    <w:p w:rsidR="00BC2502" w:rsidRDefault="00BC2502" w:rsidP="00BC2502">
      <w:pPr>
        <w:rPr>
          <w:lang w:val="en-US"/>
        </w:rPr>
      </w:pPr>
    </w:p>
    <w:p w:rsidR="00BC2502" w:rsidRDefault="00BC2502" w:rsidP="00BC2502">
      <w:pPr>
        <w:rPr>
          <w:lang w:val="en-US"/>
        </w:rPr>
      </w:pPr>
      <w:r>
        <w:rPr>
          <w:lang w:val="en-US"/>
        </w:rPr>
        <w:t>Carbon Impact Analytics :</w:t>
      </w:r>
    </w:p>
    <w:p w:rsidR="00BC2502" w:rsidRDefault="00BC2502" w:rsidP="00BC2502">
      <w:pPr>
        <w:rPr>
          <w:lang w:val="en-US"/>
        </w:rPr>
      </w:pPr>
      <w:r>
        <w:rPr>
          <w:lang w:val="en-US"/>
        </w:rPr>
        <w:t xml:space="preserve">Goal = measure </w:t>
      </w:r>
      <w:r w:rsidR="00E528DD">
        <w:rPr>
          <w:lang w:val="en-US"/>
        </w:rPr>
        <w:t>carbon impact of portfolio + pilot investment strategy</w:t>
      </w:r>
    </w:p>
    <w:p w:rsidR="00E528DD" w:rsidRDefault="00E528DD" w:rsidP="00BC2502">
      <w:pPr>
        <w:rPr>
          <w:lang w:val="en-US"/>
        </w:rPr>
      </w:pPr>
    </w:p>
    <w:p w:rsidR="00E528DD" w:rsidRDefault="00E528DD" w:rsidP="00E528DD">
      <w:pPr>
        <w:pStyle w:val="Paragraphedeliste"/>
        <w:numPr>
          <w:ilvl w:val="0"/>
          <w:numId w:val="1"/>
        </w:numPr>
      </w:pPr>
      <w:proofErr w:type="spellStart"/>
      <w:r w:rsidRPr="00E528DD">
        <w:t>Bottom</w:t>
      </w:r>
      <w:proofErr w:type="spellEnd"/>
      <w:r w:rsidRPr="00E528DD">
        <w:t xml:space="preserve"> up </w:t>
      </w:r>
      <w:proofErr w:type="spellStart"/>
      <w:r w:rsidRPr="00E528DD">
        <w:t>analysis</w:t>
      </w:r>
      <w:proofErr w:type="spellEnd"/>
      <w:r w:rsidRPr="00E528DD">
        <w:t xml:space="preserve"> : analyser l’impact carbone de chaque entreprise qui constitue un portefeuille</w:t>
      </w:r>
      <w:r>
        <w:t xml:space="preserve"> -&gt; permet de différencier les entreprises même au sein du même secteur, et donc d’identifier celles qui font un effort </w:t>
      </w:r>
    </w:p>
    <w:p w:rsidR="00E528DD" w:rsidRDefault="00E528DD" w:rsidP="00E528DD">
      <w:pPr>
        <w:pStyle w:val="Paragraphedeliste"/>
        <w:numPr>
          <w:ilvl w:val="0"/>
          <w:numId w:val="1"/>
        </w:numPr>
      </w:pPr>
      <w:r>
        <w:t>Identifier les secteurs à hauts enjeux, qui nécessitent une analyse détaillée : énergie, producteurs d’équipement avec potentiel bas carbone, secteurs fortement consommateurs de carbone, secteur financier</w:t>
      </w:r>
    </w:p>
    <w:p w:rsidR="00E528DD" w:rsidRPr="00E528DD" w:rsidRDefault="00E528DD" w:rsidP="00E528DD">
      <w:pPr>
        <w:pStyle w:val="Paragraphedeliste"/>
        <w:numPr>
          <w:ilvl w:val="0"/>
          <w:numId w:val="1"/>
        </w:numPr>
      </w:pPr>
      <w:proofErr w:type="spellStart"/>
      <w:r>
        <w:t>Eviter</w:t>
      </w:r>
      <w:proofErr w:type="spellEnd"/>
      <w:r>
        <w:t xml:space="preserve"> les doubles comptages d’émission de Gaz à effet de serre au sein d’un même portefeuille, </w:t>
      </w:r>
      <w:bookmarkStart w:id="0" w:name="_GoBack"/>
      <w:bookmarkEnd w:id="0"/>
      <w:r w:rsidRPr="00E528DD">
        <w:t xml:space="preserve"> </w:t>
      </w:r>
    </w:p>
    <w:sectPr w:rsidR="00E528DD" w:rsidRPr="00E528DD" w:rsidSect="0075122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C71EB"/>
    <w:multiLevelType w:val="hybridMultilevel"/>
    <w:tmpl w:val="A3AEC302"/>
    <w:lvl w:ilvl="0" w:tplc="FE72FD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F23"/>
    <w:rsid w:val="00465F23"/>
    <w:rsid w:val="00751220"/>
    <w:rsid w:val="008017FC"/>
    <w:rsid w:val="00884178"/>
    <w:rsid w:val="008C46BB"/>
    <w:rsid w:val="00BC0B97"/>
    <w:rsid w:val="00BC2502"/>
    <w:rsid w:val="00E5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DA5C25"/>
  <w15:chartTrackingRefBased/>
  <w15:docId w15:val="{F3D3BD1C-BE3E-7346-B6D3-9B110231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5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2020-05-05T18:38:00Z</dcterms:created>
  <dcterms:modified xsi:type="dcterms:W3CDTF">2020-05-05T20:54:00Z</dcterms:modified>
</cp:coreProperties>
</file>