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87CE2" w14:textId="77777777" w:rsidR="00A8764A" w:rsidRPr="00A8764A" w:rsidRDefault="00A8764A" w:rsidP="00A8764A">
      <w:pPr>
        <w:shd w:val="clear" w:color="auto" w:fill="FFFFFF"/>
        <w:spacing w:after="150" w:line="390" w:lineRule="atLeast"/>
        <w:jc w:val="center"/>
        <w:rPr>
          <w:rFonts w:ascii="Roboto" w:eastAsia="Times New Roman" w:hAnsi="Roboto" w:cs="Times New Roman"/>
          <w:b/>
          <w:bCs/>
          <w:color w:val="001D35"/>
          <w:kern w:val="0"/>
          <w:sz w:val="28"/>
          <w:szCs w:val="28"/>
          <w14:ligatures w14:val="none"/>
        </w:rPr>
      </w:pPr>
      <w:r w:rsidRPr="00A8764A">
        <w:rPr>
          <w:rFonts w:ascii="Roboto" w:eastAsia="Times New Roman" w:hAnsi="Roboto" w:cs="Times New Roman"/>
          <w:b/>
          <w:bCs/>
          <w:color w:val="001D35"/>
          <w:kern w:val="0"/>
          <w:sz w:val="28"/>
          <w:szCs w:val="28"/>
          <w14:ligatures w14:val="none"/>
        </w:rPr>
        <w:t>Essential calculations for FAI reviewers in aerospace</w:t>
      </w:r>
    </w:p>
    <w:p w14:paraId="17DAEFF4" w14:textId="77777777" w:rsidR="00A8764A" w:rsidRPr="00A8764A" w:rsidRDefault="00A8764A" w:rsidP="00A8764A">
      <w:pPr>
        <w:shd w:val="clear" w:color="auto" w:fill="FFFFFF"/>
        <w:spacing w:after="150" w:line="390" w:lineRule="atLeast"/>
        <w:jc w:val="center"/>
        <w:rPr>
          <w:rFonts w:ascii="Roboto" w:eastAsia="Times New Roman" w:hAnsi="Roboto" w:cs="Times New Roman"/>
          <w:color w:val="001D35"/>
          <w:kern w:val="0"/>
          <w:sz w:val="27"/>
          <w:szCs w:val="27"/>
          <w14:ligatures w14:val="none"/>
        </w:rPr>
      </w:pPr>
    </w:p>
    <w:p w14:paraId="16BBA8AB" w14:textId="77777777" w:rsidR="00A8764A" w:rsidRPr="00A8764A" w:rsidRDefault="00A8764A" w:rsidP="00A8764A">
      <w:pPr>
        <w:shd w:val="clear" w:color="auto" w:fill="FFFFFF"/>
        <w:spacing w:line="360" w:lineRule="atLeast"/>
        <w:rPr>
          <w:rFonts w:ascii="Roboto" w:eastAsia="Times New Roman" w:hAnsi="Roboto" w:cs="Times New Roman"/>
          <w:color w:val="001D35"/>
          <w:kern w:val="0"/>
          <w:sz w:val="27"/>
          <w:szCs w:val="27"/>
          <w14:ligatures w14:val="none"/>
        </w:rPr>
      </w:pPr>
      <w:r w:rsidRPr="00A8764A">
        <w:rPr>
          <w:rFonts w:ascii="Roboto" w:eastAsia="Times New Roman" w:hAnsi="Roboto" w:cs="Times New Roman"/>
          <w:color w:val="001D35"/>
          <w:kern w:val="0"/>
          <w:sz w:val="27"/>
          <w:szCs w:val="27"/>
          <w14:ligatures w14:val="none"/>
        </w:rPr>
        <w:t>Beyond True Position Tolerance and Bonus Tolerance, aerospace First Article Inspection (FAI) reviewers can benefit from understanding and applying various other calculations and formulas, particularly those related to Geometric Dimensioning &amp; Tolerancing (GD&amp;T) and statistical analysis.</w:t>
      </w:r>
    </w:p>
    <w:p w14:paraId="3842754C" w14:textId="77777777" w:rsidR="00A8764A" w:rsidRPr="00A8764A" w:rsidRDefault="00A8764A" w:rsidP="00A8764A">
      <w:pPr>
        <w:shd w:val="clear" w:color="auto" w:fill="FFFFFF"/>
        <w:spacing w:after="150" w:line="390" w:lineRule="atLeast"/>
        <w:rPr>
          <w:rFonts w:ascii="Roboto" w:eastAsia="Times New Roman" w:hAnsi="Roboto" w:cs="Times New Roman"/>
          <w:color w:val="001D35"/>
          <w:kern w:val="0"/>
          <w:sz w:val="27"/>
          <w:szCs w:val="27"/>
          <w14:ligatures w14:val="none"/>
        </w:rPr>
      </w:pPr>
      <w:r w:rsidRPr="00A8764A">
        <w:rPr>
          <w:rFonts w:ascii="Roboto" w:eastAsia="Times New Roman" w:hAnsi="Roboto" w:cs="Times New Roman"/>
          <w:color w:val="001D35"/>
          <w:kern w:val="0"/>
          <w:sz w:val="27"/>
          <w:szCs w:val="27"/>
          <w14:ligatures w14:val="none"/>
        </w:rPr>
        <w:t>1. GD&amp;T calculations for form and orientation tolerances</w:t>
      </w:r>
    </w:p>
    <w:p w14:paraId="689AC1E5" w14:textId="77777777" w:rsidR="00A8764A" w:rsidRPr="00A8764A" w:rsidRDefault="00A8764A" w:rsidP="00A8764A">
      <w:pPr>
        <w:numPr>
          <w:ilvl w:val="0"/>
          <w:numId w:val="1"/>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t>Flatness:</w:t>
      </w:r>
      <w:r w:rsidRPr="00A8764A">
        <w:rPr>
          <w:rFonts w:ascii="Roboto" w:eastAsia="Times New Roman" w:hAnsi="Roboto" w:cs="Times New Roman"/>
          <w:color w:val="001D35"/>
          <w:kern w:val="0"/>
          <w14:ligatures w14:val="none"/>
        </w:rPr>
        <w:t> Calculating the variation of a surface from a perfect plane. Reviewers need to assess if the measured surface lies within the specified tolerance zone by comparing CMM data to the nominal shape. Methods like the Minimum Zone method are most accurate for evaluating flatness.</w:t>
      </w:r>
    </w:p>
    <w:p w14:paraId="140D4D81" w14:textId="77777777" w:rsidR="00A8764A" w:rsidRPr="00A8764A" w:rsidRDefault="00A8764A" w:rsidP="00A8764A">
      <w:pPr>
        <w:numPr>
          <w:ilvl w:val="0"/>
          <w:numId w:val="1"/>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t>Cylindricity:</w:t>
      </w:r>
      <w:r w:rsidRPr="00A8764A">
        <w:rPr>
          <w:rFonts w:ascii="Roboto" w:eastAsia="Times New Roman" w:hAnsi="Roboto" w:cs="Times New Roman"/>
          <w:color w:val="001D35"/>
          <w:kern w:val="0"/>
          <w14:ligatures w14:val="none"/>
        </w:rPr>
        <w:t> Assessing how closely a cylindrical surface conforms to a true cylinder. This involves evaluating deviations from the ideal cylindrical form using measurements taken by tools like CMMs.</w:t>
      </w:r>
    </w:p>
    <w:p w14:paraId="5D630323" w14:textId="77777777" w:rsidR="00A8764A" w:rsidRPr="00A8764A" w:rsidRDefault="00A8764A" w:rsidP="00A8764A">
      <w:pPr>
        <w:numPr>
          <w:ilvl w:val="0"/>
          <w:numId w:val="1"/>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t>Straightness:</w:t>
      </w:r>
      <w:r w:rsidRPr="00A8764A">
        <w:rPr>
          <w:rFonts w:ascii="Roboto" w:eastAsia="Times New Roman" w:hAnsi="Roboto" w:cs="Times New Roman"/>
          <w:color w:val="001D35"/>
          <w:kern w:val="0"/>
          <w14:ligatures w14:val="none"/>
        </w:rPr>
        <w:t> Determining how straight a line or axis is, crucial for components like shafts or holes.</w:t>
      </w:r>
    </w:p>
    <w:p w14:paraId="3A7C352D" w14:textId="77777777" w:rsidR="00A8764A" w:rsidRPr="00A8764A" w:rsidRDefault="00A8764A" w:rsidP="00A8764A">
      <w:pPr>
        <w:numPr>
          <w:ilvl w:val="0"/>
          <w:numId w:val="1"/>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t>Perpendicularity, Parallelism, and Angularity:</w:t>
      </w:r>
      <w:r w:rsidRPr="00A8764A">
        <w:rPr>
          <w:rFonts w:ascii="Roboto" w:eastAsia="Times New Roman" w:hAnsi="Roboto" w:cs="Times New Roman"/>
          <w:color w:val="001D35"/>
          <w:kern w:val="0"/>
          <w14:ligatures w14:val="none"/>
        </w:rPr>
        <w:t> These orientation tolerances define the allowable deviation of a feature's orientation relative to a datum feature or another feature. Reviewers will use CMM data to verify that the orientation is within the specified limits. For example, </w:t>
      </w:r>
      <w:hyperlink r:id="rId5" w:tgtFrame="_blank" w:history="1">
        <w:r w:rsidRPr="00A8764A">
          <w:rPr>
            <w:rFonts w:ascii="Roboto" w:eastAsia="Times New Roman" w:hAnsi="Roboto" w:cs="Times New Roman"/>
            <w:color w:val="1A0DAB"/>
            <w:kern w:val="0"/>
            <w:u w:val="single"/>
            <w14:ligatures w14:val="none"/>
          </w:rPr>
          <w:t>GD&amp;T Basics notes</w:t>
        </w:r>
      </w:hyperlink>
      <w:r w:rsidRPr="00A8764A">
        <w:rPr>
          <w:rFonts w:ascii="Roboto" w:eastAsia="Times New Roman" w:hAnsi="Roboto" w:cs="Times New Roman"/>
          <w:color w:val="001D35"/>
          <w:kern w:val="0"/>
          <w14:ligatures w14:val="none"/>
        </w:rPr>
        <w:t> that true position itself controls orientation similar to perpendicularity, parallelism, and angularity. </w:t>
      </w:r>
    </w:p>
    <w:p w14:paraId="4A10C28F" w14:textId="77777777" w:rsidR="00A8764A" w:rsidRPr="00A8764A" w:rsidRDefault="00A8764A" w:rsidP="00A8764A">
      <w:pPr>
        <w:shd w:val="clear" w:color="auto" w:fill="FFFFFF"/>
        <w:spacing w:after="150" w:line="390" w:lineRule="atLeast"/>
        <w:rPr>
          <w:rFonts w:ascii="Roboto" w:eastAsia="Times New Roman" w:hAnsi="Roboto" w:cs="Times New Roman"/>
          <w:color w:val="001D35"/>
          <w:kern w:val="0"/>
          <w:sz w:val="27"/>
          <w:szCs w:val="27"/>
          <w14:ligatures w14:val="none"/>
        </w:rPr>
      </w:pPr>
      <w:r w:rsidRPr="00A8764A">
        <w:rPr>
          <w:rFonts w:ascii="Roboto" w:eastAsia="Times New Roman" w:hAnsi="Roboto" w:cs="Times New Roman"/>
          <w:color w:val="001D35"/>
          <w:kern w:val="0"/>
          <w:sz w:val="27"/>
          <w:szCs w:val="27"/>
          <w14:ligatures w14:val="none"/>
        </w:rPr>
        <w:t>2. Statistical process control (SPC) calculations</w:t>
      </w:r>
    </w:p>
    <w:p w14:paraId="0004BF2C" w14:textId="77777777" w:rsidR="00A8764A" w:rsidRPr="00A8764A" w:rsidRDefault="00A8764A" w:rsidP="00A8764A">
      <w:pPr>
        <w:numPr>
          <w:ilvl w:val="0"/>
          <w:numId w:val="2"/>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t xml:space="preserve">Cp and </w:t>
      </w:r>
      <w:proofErr w:type="spellStart"/>
      <w:r w:rsidRPr="00A8764A">
        <w:rPr>
          <w:rFonts w:ascii="Roboto" w:eastAsia="Times New Roman" w:hAnsi="Roboto" w:cs="Times New Roman"/>
          <w:color w:val="1F1F1F"/>
          <w:kern w:val="0"/>
          <w14:ligatures w14:val="none"/>
        </w:rPr>
        <w:t>Cpk</w:t>
      </w:r>
      <w:proofErr w:type="spellEnd"/>
      <w:r w:rsidRPr="00A8764A">
        <w:rPr>
          <w:rFonts w:ascii="Roboto" w:eastAsia="Times New Roman" w:hAnsi="Roboto" w:cs="Times New Roman"/>
          <w:color w:val="1F1F1F"/>
          <w:kern w:val="0"/>
          <w14:ligatures w14:val="none"/>
        </w:rPr>
        <w:t>:</w:t>
      </w:r>
      <w:r w:rsidRPr="00A8764A">
        <w:rPr>
          <w:rFonts w:ascii="Roboto" w:eastAsia="Times New Roman" w:hAnsi="Roboto" w:cs="Times New Roman"/>
          <w:color w:val="001D35"/>
          <w:kern w:val="0"/>
          <w14:ligatures w14:val="none"/>
        </w:rPr>
        <w:t xml:space="preserve"> These process capability indices help assess whether a process is statistically capable of producing parts within specification limits. Cp indicates the potential capability, while </w:t>
      </w:r>
      <w:proofErr w:type="spellStart"/>
      <w:r w:rsidRPr="00A8764A">
        <w:rPr>
          <w:rFonts w:ascii="Roboto" w:eastAsia="Times New Roman" w:hAnsi="Roboto" w:cs="Times New Roman"/>
          <w:color w:val="001D35"/>
          <w:kern w:val="0"/>
          <w14:ligatures w14:val="none"/>
        </w:rPr>
        <w:t>Cpk</w:t>
      </w:r>
      <w:proofErr w:type="spellEnd"/>
      <w:r w:rsidRPr="00A8764A">
        <w:rPr>
          <w:rFonts w:ascii="Roboto" w:eastAsia="Times New Roman" w:hAnsi="Roboto" w:cs="Times New Roman"/>
          <w:color w:val="001D35"/>
          <w:kern w:val="0"/>
          <w14:ligatures w14:val="none"/>
        </w:rPr>
        <w:t xml:space="preserve"> reflects the actual performance relative to the specifications.</w:t>
      </w:r>
    </w:p>
    <w:p w14:paraId="51269895" w14:textId="77777777" w:rsidR="00A8764A" w:rsidRPr="00A8764A" w:rsidRDefault="00A8764A" w:rsidP="00A8764A">
      <w:pPr>
        <w:numPr>
          <w:ilvl w:val="0"/>
          <w:numId w:val="2"/>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t>Control Charts (X-bar and R charts, P and NP charts, etc.):</w:t>
      </w:r>
      <w:r w:rsidRPr="00A8764A">
        <w:rPr>
          <w:rFonts w:ascii="Roboto" w:eastAsia="Times New Roman" w:hAnsi="Roboto" w:cs="Times New Roman"/>
          <w:color w:val="001D35"/>
          <w:kern w:val="0"/>
          <w14:ligatures w14:val="none"/>
        </w:rPr>
        <w:t> Reviewers may need to understand and interpret various control charts to evaluate process stability and identify any trends or out-of-control conditions.</w:t>
      </w:r>
    </w:p>
    <w:p w14:paraId="50B85C4E" w14:textId="77777777" w:rsidR="00A8764A" w:rsidRPr="00A8764A" w:rsidRDefault="00A8764A" w:rsidP="00A8764A">
      <w:pPr>
        <w:numPr>
          <w:ilvl w:val="0"/>
          <w:numId w:val="2"/>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t>Range (R):</w:t>
      </w:r>
      <w:r w:rsidRPr="00A8764A">
        <w:rPr>
          <w:rFonts w:ascii="Roboto" w:eastAsia="Times New Roman" w:hAnsi="Roboto" w:cs="Times New Roman"/>
          <w:color w:val="001D35"/>
          <w:kern w:val="0"/>
          <w14:ligatures w14:val="none"/>
        </w:rPr>
        <w:t> A simple measure of process variation, calculated as the difference between the maximum and minimum values in a subgroup. </w:t>
      </w:r>
    </w:p>
    <w:p w14:paraId="4BB9EB4F" w14:textId="77777777" w:rsidR="00A8764A" w:rsidRPr="00A8764A" w:rsidRDefault="00A8764A" w:rsidP="00A8764A">
      <w:pPr>
        <w:shd w:val="clear" w:color="auto" w:fill="FFFFFF"/>
        <w:spacing w:after="150" w:line="390" w:lineRule="atLeast"/>
        <w:rPr>
          <w:rFonts w:ascii="Roboto" w:eastAsia="Times New Roman" w:hAnsi="Roboto" w:cs="Times New Roman"/>
          <w:color w:val="001D35"/>
          <w:kern w:val="0"/>
          <w:sz w:val="27"/>
          <w:szCs w:val="27"/>
          <w14:ligatures w14:val="none"/>
        </w:rPr>
      </w:pPr>
      <w:r w:rsidRPr="00A8764A">
        <w:rPr>
          <w:rFonts w:ascii="Roboto" w:eastAsia="Times New Roman" w:hAnsi="Roboto" w:cs="Times New Roman"/>
          <w:color w:val="001D35"/>
          <w:kern w:val="0"/>
          <w:sz w:val="27"/>
          <w:szCs w:val="27"/>
          <w14:ligatures w14:val="none"/>
        </w:rPr>
        <w:t>3. Measurement system analysis (MSA) calculations</w:t>
      </w:r>
    </w:p>
    <w:p w14:paraId="368520C6" w14:textId="77777777" w:rsidR="00A8764A" w:rsidRPr="00A8764A" w:rsidRDefault="00A8764A" w:rsidP="00A8764A">
      <w:pPr>
        <w:numPr>
          <w:ilvl w:val="0"/>
          <w:numId w:val="3"/>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lastRenderedPageBreak/>
        <w:t>Gage R&amp;R (Repeatability and Reproducibility):</w:t>
      </w:r>
      <w:r w:rsidRPr="00A8764A">
        <w:rPr>
          <w:rFonts w:ascii="Roboto" w:eastAsia="Times New Roman" w:hAnsi="Roboto" w:cs="Times New Roman"/>
          <w:color w:val="001D35"/>
          <w:kern w:val="0"/>
          <w14:ligatures w14:val="none"/>
        </w:rPr>
        <w:t xml:space="preserve"> These studies quantify the variation contributed by the measurement system itself, including the </w:t>
      </w:r>
      <w:proofErr w:type="gramStart"/>
      <w:r w:rsidRPr="00A8764A">
        <w:rPr>
          <w:rFonts w:ascii="Roboto" w:eastAsia="Times New Roman" w:hAnsi="Roboto" w:cs="Times New Roman"/>
          <w:color w:val="001D35"/>
          <w:kern w:val="0"/>
          <w14:ligatures w14:val="none"/>
        </w:rPr>
        <w:t>gage</w:t>
      </w:r>
      <w:proofErr w:type="gramEnd"/>
      <w:r w:rsidRPr="00A8764A">
        <w:rPr>
          <w:rFonts w:ascii="Roboto" w:eastAsia="Times New Roman" w:hAnsi="Roboto" w:cs="Times New Roman"/>
          <w:color w:val="001D35"/>
          <w:kern w:val="0"/>
          <w14:ligatures w14:val="none"/>
        </w:rPr>
        <w:t>, operators, and environment. A high Gage R&amp;R value indicates a less capable measurement system, which could affect the accuracy of CMM data and potentially lead to inaccurate FAI conclusions. %R&amp;R values less than 10% indicate an acceptable gage system. </w:t>
      </w:r>
    </w:p>
    <w:p w14:paraId="2C471510" w14:textId="77777777" w:rsidR="00A8764A" w:rsidRPr="00A8764A" w:rsidRDefault="00A8764A" w:rsidP="00A8764A">
      <w:pPr>
        <w:shd w:val="clear" w:color="auto" w:fill="FFFFFF"/>
        <w:spacing w:after="150" w:line="390" w:lineRule="atLeast"/>
        <w:rPr>
          <w:rFonts w:ascii="Roboto" w:eastAsia="Times New Roman" w:hAnsi="Roboto" w:cs="Times New Roman"/>
          <w:color w:val="001D35"/>
          <w:kern w:val="0"/>
          <w:sz w:val="27"/>
          <w:szCs w:val="27"/>
          <w14:ligatures w14:val="none"/>
        </w:rPr>
      </w:pPr>
      <w:r w:rsidRPr="00A8764A">
        <w:rPr>
          <w:rFonts w:ascii="Roboto" w:eastAsia="Times New Roman" w:hAnsi="Roboto" w:cs="Times New Roman"/>
          <w:color w:val="001D35"/>
          <w:kern w:val="0"/>
          <w:sz w:val="27"/>
          <w:szCs w:val="27"/>
          <w14:ligatures w14:val="none"/>
        </w:rPr>
        <w:t>4. Calculations related to surface finish and roughness</w:t>
      </w:r>
    </w:p>
    <w:p w14:paraId="3DFFC514" w14:textId="77777777" w:rsidR="00A8764A" w:rsidRPr="00A8764A" w:rsidRDefault="00A8764A" w:rsidP="00A8764A">
      <w:pPr>
        <w:numPr>
          <w:ilvl w:val="0"/>
          <w:numId w:val="4"/>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t>Average Roughness (Ra):</w:t>
      </w:r>
      <w:r w:rsidRPr="00A8764A">
        <w:rPr>
          <w:rFonts w:ascii="Roboto" w:eastAsia="Times New Roman" w:hAnsi="Roboto" w:cs="Times New Roman"/>
          <w:color w:val="001D35"/>
          <w:kern w:val="0"/>
          <w14:ligatures w14:val="none"/>
        </w:rPr>
        <w:t> The most commonly specified roughness parameter, </w:t>
      </w:r>
      <w:hyperlink r:id="rId6" w:tgtFrame="_blank" w:history="1">
        <w:r w:rsidRPr="00A8764A">
          <w:rPr>
            <w:rFonts w:ascii="Roboto" w:eastAsia="Times New Roman" w:hAnsi="Roboto" w:cs="Times New Roman"/>
            <w:color w:val="1A0DAB"/>
            <w:kern w:val="0"/>
            <w:u w:val="single"/>
            <w14:ligatures w14:val="none"/>
          </w:rPr>
          <w:t>according to GD&amp;T Basics</w:t>
        </w:r>
      </w:hyperlink>
      <w:r w:rsidRPr="00A8764A">
        <w:rPr>
          <w:rFonts w:ascii="Roboto" w:eastAsia="Times New Roman" w:hAnsi="Roboto" w:cs="Times New Roman"/>
          <w:color w:val="001D35"/>
          <w:kern w:val="0"/>
          <w14:ligatures w14:val="none"/>
        </w:rPr>
        <w:t>. It represents the average of the absolute distances of data points from the mean line of a surface profile.</w:t>
      </w:r>
    </w:p>
    <w:p w14:paraId="183867EF" w14:textId="77777777" w:rsidR="00A8764A" w:rsidRPr="00A8764A" w:rsidRDefault="00A8764A" w:rsidP="00A8764A">
      <w:pPr>
        <w:numPr>
          <w:ilvl w:val="0"/>
          <w:numId w:val="4"/>
        </w:numPr>
        <w:shd w:val="clear" w:color="auto" w:fill="FFFFFF"/>
        <w:spacing w:after="120" w:line="330" w:lineRule="atLeast"/>
        <w:rPr>
          <w:rFonts w:ascii="Roboto" w:eastAsia="Times New Roman" w:hAnsi="Roboto" w:cs="Times New Roman"/>
          <w:color w:val="001D35"/>
          <w:kern w:val="0"/>
          <w14:ligatures w14:val="none"/>
        </w:rPr>
      </w:pPr>
      <w:r w:rsidRPr="00A8764A">
        <w:rPr>
          <w:rFonts w:ascii="Roboto" w:eastAsia="Times New Roman" w:hAnsi="Roboto" w:cs="Times New Roman"/>
          <w:color w:val="1F1F1F"/>
          <w:kern w:val="0"/>
          <w14:ligatures w14:val="none"/>
        </w:rPr>
        <w:t>Maximum Roughness Depth (Rz):</w:t>
      </w:r>
      <w:r w:rsidRPr="00A8764A">
        <w:rPr>
          <w:rFonts w:ascii="Roboto" w:eastAsia="Times New Roman" w:hAnsi="Roboto" w:cs="Times New Roman"/>
          <w:color w:val="001D35"/>
          <w:kern w:val="0"/>
          <w14:ligatures w14:val="none"/>
        </w:rPr>
        <w:t> Represents the average of the five highest peaks to the five deepest valleys within a sample length. Rz gives a better indication of the most severe surface variations, which might be important for critical applications, </w:t>
      </w:r>
      <w:hyperlink r:id="rId7" w:tgtFrame="_blank" w:history="1">
        <w:r w:rsidRPr="00A8764A">
          <w:rPr>
            <w:rFonts w:ascii="Roboto" w:eastAsia="Times New Roman" w:hAnsi="Roboto" w:cs="Times New Roman"/>
            <w:color w:val="1A0DAB"/>
            <w:kern w:val="0"/>
            <w:u w:val="single"/>
            <w14:ligatures w14:val="none"/>
          </w:rPr>
          <w:t xml:space="preserve">according to </w:t>
        </w:r>
        <w:proofErr w:type="spellStart"/>
        <w:r w:rsidRPr="00A8764A">
          <w:rPr>
            <w:rFonts w:ascii="Roboto" w:eastAsia="Times New Roman" w:hAnsi="Roboto" w:cs="Times New Roman"/>
            <w:color w:val="1A0DAB"/>
            <w:kern w:val="0"/>
            <w:u w:val="single"/>
            <w14:ligatures w14:val="none"/>
          </w:rPr>
          <w:t>Zintilon</w:t>
        </w:r>
        <w:proofErr w:type="spellEnd"/>
      </w:hyperlink>
      <w:r w:rsidRPr="00A8764A">
        <w:rPr>
          <w:rFonts w:ascii="Roboto" w:eastAsia="Times New Roman" w:hAnsi="Roboto" w:cs="Times New Roman"/>
          <w:color w:val="001D35"/>
          <w:kern w:val="0"/>
          <w14:ligatures w14:val="none"/>
        </w:rPr>
        <w:t>. </w:t>
      </w:r>
    </w:p>
    <w:p w14:paraId="46F8033B" w14:textId="77777777" w:rsidR="00A8764A" w:rsidRPr="00A8764A" w:rsidRDefault="00A8764A" w:rsidP="00A8764A">
      <w:pPr>
        <w:shd w:val="clear" w:color="auto" w:fill="FFFFFF"/>
        <w:spacing w:line="360" w:lineRule="atLeast"/>
        <w:rPr>
          <w:rFonts w:ascii="Roboto" w:eastAsia="Times New Roman" w:hAnsi="Roboto" w:cs="Times New Roman"/>
          <w:color w:val="001D35"/>
          <w:kern w:val="0"/>
          <w:sz w:val="27"/>
          <w:szCs w:val="27"/>
          <w14:ligatures w14:val="none"/>
        </w:rPr>
      </w:pPr>
      <w:r w:rsidRPr="00A8764A">
        <w:rPr>
          <w:rFonts w:ascii="Roboto" w:eastAsia="Times New Roman" w:hAnsi="Roboto" w:cs="Times New Roman"/>
          <w:color w:val="001D35"/>
          <w:kern w:val="0"/>
          <w:sz w:val="27"/>
          <w:szCs w:val="27"/>
          <w14:ligatures w14:val="none"/>
        </w:rPr>
        <w:t>By understanding and utilizing these various calculations and formulas, FAI reviewers can more effectively interpret CMM data, assess product quality, and ensure compliance with design specifications in the aerospace industry.</w:t>
      </w:r>
    </w:p>
    <w:p w14:paraId="3110E8AB" w14:textId="77777777" w:rsidR="00D64604" w:rsidRDefault="00D64604"/>
    <w:p w14:paraId="0FDE785C" w14:textId="77777777" w:rsidR="0034711C" w:rsidRPr="0034711C" w:rsidRDefault="0034711C" w:rsidP="0034711C">
      <w:r w:rsidRPr="0034711C">
        <w:t>1. GD&amp;T calculations</w:t>
      </w:r>
    </w:p>
    <w:p w14:paraId="64BC29CD" w14:textId="77777777" w:rsidR="0034711C" w:rsidRPr="0034711C" w:rsidRDefault="0034711C" w:rsidP="0034711C">
      <w:pPr>
        <w:numPr>
          <w:ilvl w:val="0"/>
          <w:numId w:val="5"/>
        </w:numPr>
      </w:pPr>
      <w:r w:rsidRPr="0034711C">
        <w:t>Tolerance Zone Calculations: Understanding how different GD&amp;T symbols translate into tolerance zones is crucial. This includes calculating the size and shape of tolerance zones for various features based on the GD&amp;T callouts in the engineering drawing.</w:t>
      </w:r>
    </w:p>
    <w:p w14:paraId="219C8926" w14:textId="77777777" w:rsidR="0034711C" w:rsidRPr="0034711C" w:rsidRDefault="0034711C" w:rsidP="0034711C">
      <w:pPr>
        <w:numPr>
          <w:ilvl w:val="0"/>
          <w:numId w:val="5"/>
        </w:numPr>
      </w:pPr>
      <w:r w:rsidRPr="0034711C">
        <w:t xml:space="preserve">Virtual Condition Calculation: This refers to the "worst-case scenario" for a feature, considering both its size and geometric tolerances. Calculating Virtual Condition helps determine functional </w:t>
      </w:r>
      <w:proofErr w:type="gramStart"/>
      <w:r w:rsidRPr="0034711C">
        <w:t>fit</w:t>
      </w:r>
      <w:proofErr w:type="gramEnd"/>
      <w:r w:rsidRPr="0034711C">
        <w:t xml:space="preserve"> and assembly of parts.</w:t>
      </w:r>
    </w:p>
    <w:p w14:paraId="0D462AF5" w14:textId="77777777" w:rsidR="0034711C" w:rsidRPr="0034711C" w:rsidRDefault="0034711C" w:rsidP="0034711C">
      <w:pPr>
        <w:numPr>
          <w:ilvl w:val="0"/>
          <w:numId w:val="5"/>
        </w:numPr>
      </w:pPr>
      <w:r w:rsidRPr="0034711C">
        <w:t xml:space="preserve">Resultant Condition Calculation: This determines the actual boundary of a feature at its manufactured size, </w:t>
      </w:r>
      <w:proofErr w:type="gramStart"/>
      <w:r w:rsidRPr="0034711C">
        <w:t>taking into account</w:t>
      </w:r>
      <w:proofErr w:type="gramEnd"/>
      <w:r w:rsidRPr="0034711C">
        <w:t xml:space="preserve"> any applicable geometric tolerances. This helps assess if the produced part meets functional requirements.</w:t>
      </w:r>
    </w:p>
    <w:p w14:paraId="57EABCAA" w14:textId="77777777" w:rsidR="0034711C" w:rsidRPr="0034711C" w:rsidRDefault="0034711C" w:rsidP="0034711C">
      <w:pPr>
        <w:numPr>
          <w:ilvl w:val="0"/>
          <w:numId w:val="5"/>
        </w:numPr>
      </w:pPr>
      <w:r w:rsidRPr="0034711C">
        <w:t>Datum Shift: When a datum feature is specified at its Maximum Material Condition (MMC) or Least Material Condition (LMC), its size affects the position and orientation of related features. Understanding the calculation of datum shift is essential for accurate evaluation of GD&amp;T requirements.</w:t>
      </w:r>
    </w:p>
    <w:p w14:paraId="6354A06B" w14:textId="77777777" w:rsidR="0034711C" w:rsidRPr="0034711C" w:rsidRDefault="0034711C" w:rsidP="0034711C">
      <w:pPr>
        <w:numPr>
          <w:ilvl w:val="0"/>
          <w:numId w:val="5"/>
        </w:numPr>
      </w:pPr>
      <w:r w:rsidRPr="0034711C">
        <w:lastRenderedPageBreak/>
        <w:t>Relationship between Tolerances: Being able to calculate the relationship between different types of tolerances, such as perpendicularity, parallelism, and angularity, is important because some tolerances can constrain other forms or orientations. </w:t>
      </w:r>
    </w:p>
    <w:p w14:paraId="409B20D5" w14:textId="77777777" w:rsidR="0034711C" w:rsidRPr="0034711C" w:rsidRDefault="0034711C" w:rsidP="0034711C">
      <w:r w:rsidRPr="0034711C">
        <w:t>2. Statistical calculations for quality control</w:t>
      </w:r>
    </w:p>
    <w:p w14:paraId="1A475DCD" w14:textId="77777777" w:rsidR="0034711C" w:rsidRPr="0034711C" w:rsidRDefault="0034711C" w:rsidP="0034711C">
      <w:pPr>
        <w:numPr>
          <w:ilvl w:val="0"/>
          <w:numId w:val="6"/>
        </w:numPr>
      </w:pPr>
      <w:r w:rsidRPr="0034711C">
        <w:t>Statistical Process Control (SPC) Fundamentals: Familiarity with basic SPC concepts, such as common cause and special cause variation, is important for interpreting process data and identifying potential issues.</w:t>
      </w:r>
    </w:p>
    <w:p w14:paraId="3EE653D2" w14:textId="77777777" w:rsidR="0034711C" w:rsidRPr="0034711C" w:rsidRDefault="0034711C" w:rsidP="0034711C">
      <w:pPr>
        <w:numPr>
          <w:ilvl w:val="0"/>
          <w:numId w:val="6"/>
        </w:numPr>
      </w:pPr>
      <w:r w:rsidRPr="0034711C">
        <w:t>Control Charts: While CMM software can generate these, understanding the formulas behind various control charts (e.g., X-bar and R charts) helps in assessing process stability and determining if a process is in statistical control.</w:t>
      </w:r>
    </w:p>
    <w:p w14:paraId="252A6AAB" w14:textId="77777777" w:rsidR="0034711C" w:rsidRPr="0034711C" w:rsidRDefault="0034711C" w:rsidP="0034711C">
      <w:pPr>
        <w:numPr>
          <w:ilvl w:val="0"/>
          <w:numId w:val="6"/>
        </w:numPr>
      </w:pPr>
      <w:r w:rsidRPr="0034711C">
        <w:t xml:space="preserve">Process Capability (Cp and </w:t>
      </w:r>
      <w:proofErr w:type="spellStart"/>
      <w:r w:rsidRPr="0034711C">
        <w:t>Cpk</w:t>
      </w:r>
      <w:proofErr w:type="spellEnd"/>
      <w:r w:rsidRPr="0034711C">
        <w:t>): These indices are vital for evaluating whether a process is capable of consistently producing parts within the specified tolerance limits. </w:t>
      </w:r>
      <w:hyperlink r:id="rId8" w:tgtFrame="_blank" w:history="1">
        <w:r w:rsidRPr="0034711C">
          <w:rPr>
            <w:rStyle w:val="Hyperlink"/>
          </w:rPr>
          <w:t xml:space="preserve">According to </w:t>
        </w:r>
        <w:proofErr w:type="spellStart"/>
        <w:r w:rsidRPr="0034711C">
          <w:rPr>
            <w:rStyle w:val="Hyperlink"/>
          </w:rPr>
          <w:t>LeanScape</w:t>
        </w:r>
        <w:proofErr w:type="spellEnd"/>
      </w:hyperlink>
      <w:r w:rsidRPr="0034711C">
        <w:t xml:space="preserve">, Cp measures the potential capability and </w:t>
      </w:r>
      <w:proofErr w:type="spellStart"/>
      <w:r w:rsidRPr="0034711C">
        <w:t>Cpk</w:t>
      </w:r>
      <w:proofErr w:type="spellEnd"/>
      <w:r w:rsidRPr="0034711C">
        <w:t xml:space="preserve"> considers both the process spread and centering within specification limits.  </w:t>
      </w:r>
    </w:p>
    <w:p w14:paraId="674AF19E" w14:textId="77777777" w:rsidR="0034711C" w:rsidRPr="0034711C" w:rsidRDefault="0034711C" w:rsidP="0034711C">
      <w:r w:rsidRPr="0034711C">
        <w:t>3. General mathematical and measurement calculations</w:t>
      </w:r>
    </w:p>
    <w:p w14:paraId="41242FE3" w14:textId="77777777" w:rsidR="0034711C" w:rsidRPr="0034711C" w:rsidRDefault="0034711C" w:rsidP="0034711C">
      <w:pPr>
        <w:numPr>
          <w:ilvl w:val="0"/>
          <w:numId w:val="7"/>
        </w:numPr>
      </w:pPr>
      <w:r w:rsidRPr="0034711C">
        <w:t>Unit Conversions: The ability to convert between various units of measurement (inches, millimeters, etc.) is fundamental for working with diverse engineering drawings and measurement data.</w:t>
      </w:r>
    </w:p>
    <w:p w14:paraId="244DEA1D" w14:textId="77777777" w:rsidR="0034711C" w:rsidRPr="0034711C" w:rsidRDefault="0034711C" w:rsidP="0034711C">
      <w:pPr>
        <w:numPr>
          <w:ilvl w:val="0"/>
          <w:numId w:val="7"/>
        </w:numPr>
      </w:pPr>
      <w:r w:rsidRPr="0034711C">
        <w:t>Basic Statistics: Calculating averages, standard deviations, and ranges of measured values allows reviewers to assess variations in the manufacturing process and evaluate the consistency of produced parts. </w:t>
      </w:r>
    </w:p>
    <w:p w14:paraId="5C1B1B6C" w14:textId="77777777" w:rsidR="0034711C" w:rsidRPr="0034711C" w:rsidRDefault="0034711C" w:rsidP="0034711C">
      <w:r w:rsidRPr="0034711C">
        <w:t>Importance of understanding these calculations</w:t>
      </w:r>
    </w:p>
    <w:p w14:paraId="16F7E39D" w14:textId="77777777" w:rsidR="0034711C" w:rsidRPr="0034711C" w:rsidRDefault="0034711C" w:rsidP="0034711C">
      <w:pPr>
        <w:numPr>
          <w:ilvl w:val="0"/>
          <w:numId w:val="8"/>
        </w:numPr>
      </w:pPr>
      <w:r w:rsidRPr="0034711C">
        <w:t>Verifying CMM Results: By understanding the underlying calculations, reviewers can double-check the accuracy of CMM data and software outputs, ensuring the integrity of the FAI process.</w:t>
      </w:r>
    </w:p>
    <w:p w14:paraId="3EE3CEA9" w14:textId="77777777" w:rsidR="0034711C" w:rsidRPr="0034711C" w:rsidRDefault="0034711C" w:rsidP="0034711C">
      <w:pPr>
        <w:numPr>
          <w:ilvl w:val="0"/>
          <w:numId w:val="8"/>
        </w:numPr>
      </w:pPr>
      <w:r w:rsidRPr="0034711C">
        <w:t>Troubleshooting and Problem Solving: Knowledge of these formulas allows reviewers to pinpoint potential causes of non-conformance, enabling more effective troubleshooting and corrective actions.</w:t>
      </w:r>
    </w:p>
    <w:p w14:paraId="447BEDF4" w14:textId="77777777" w:rsidR="0034711C" w:rsidRPr="0034711C" w:rsidRDefault="0034711C" w:rsidP="0034711C">
      <w:pPr>
        <w:numPr>
          <w:ilvl w:val="0"/>
          <w:numId w:val="8"/>
        </w:numPr>
      </w:pPr>
      <w:r w:rsidRPr="0034711C">
        <w:t>Enhanced Communication: A strong understanding of the calculations helps reviewers communicate more effectively with design engineers, quality engineers, and manufacturing personnel, facilitating collaboration and improvement.</w:t>
      </w:r>
    </w:p>
    <w:p w14:paraId="61648B32" w14:textId="77777777" w:rsidR="0034711C" w:rsidRPr="0034711C" w:rsidRDefault="0034711C" w:rsidP="0034711C">
      <w:pPr>
        <w:numPr>
          <w:ilvl w:val="0"/>
          <w:numId w:val="8"/>
        </w:numPr>
      </w:pPr>
      <w:r w:rsidRPr="0034711C">
        <w:lastRenderedPageBreak/>
        <w:t>Promoting Process Improvement: By analyzing data and identifying trends using statistical tools, reviewers can contribute to identifying opportunities for optimizing manufacturing processes and reducing defects. </w:t>
      </w:r>
    </w:p>
    <w:p w14:paraId="693CEA08" w14:textId="77777777" w:rsidR="0034711C" w:rsidRPr="0034711C" w:rsidRDefault="0034711C" w:rsidP="0034711C">
      <w:r w:rsidRPr="0034711C">
        <w:t>By expanding their knowledge beyond basic GD&amp;T calculations to include these other formulas and concepts, FAI reviewers can significantly enhance their ability to perform thorough and accurate inspections, ultimately contributing to higher product quality and improved manufacturing processes within the aerospace industry. </w:t>
      </w:r>
    </w:p>
    <w:p w14:paraId="4BD97145" w14:textId="7A3D0F1B" w:rsidR="0034711C" w:rsidRDefault="002C68A3">
      <w:r>
        <w:t>FLATNESS: Maximum Height – Minimum Height</w:t>
      </w:r>
    </w:p>
    <w:p w14:paraId="771454AB" w14:textId="09F1906B" w:rsidR="002C68A3" w:rsidRDefault="002C68A3">
      <w:r>
        <w:t>Inches to mm and mm to inches</w:t>
      </w:r>
    </w:p>
    <w:p w14:paraId="4CE59597" w14:textId="77777777" w:rsidR="002C68A3" w:rsidRDefault="002C68A3"/>
    <w:p w14:paraId="48D965C3" w14:textId="77777777" w:rsidR="002C68A3" w:rsidRDefault="002C68A3"/>
    <w:sectPr w:rsidR="002C6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61CF9"/>
    <w:multiLevelType w:val="multilevel"/>
    <w:tmpl w:val="440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951CB"/>
    <w:multiLevelType w:val="multilevel"/>
    <w:tmpl w:val="4ED4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25F22"/>
    <w:multiLevelType w:val="multilevel"/>
    <w:tmpl w:val="EBA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F6708"/>
    <w:multiLevelType w:val="multilevel"/>
    <w:tmpl w:val="B82E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00B66"/>
    <w:multiLevelType w:val="multilevel"/>
    <w:tmpl w:val="CF2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A1DF9"/>
    <w:multiLevelType w:val="multilevel"/>
    <w:tmpl w:val="3DF4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23272"/>
    <w:multiLevelType w:val="multilevel"/>
    <w:tmpl w:val="E14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D0144"/>
    <w:multiLevelType w:val="multilevel"/>
    <w:tmpl w:val="8AE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207495">
    <w:abstractNumId w:val="1"/>
  </w:num>
  <w:num w:numId="2" w16cid:durableId="1914201296">
    <w:abstractNumId w:val="3"/>
  </w:num>
  <w:num w:numId="3" w16cid:durableId="1049190333">
    <w:abstractNumId w:val="6"/>
  </w:num>
  <w:num w:numId="4" w16cid:durableId="319041502">
    <w:abstractNumId w:val="0"/>
  </w:num>
  <w:num w:numId="5" w16cid:durableId="1567566892">
    <w:abstractNumId w:val="7"/>
  </w:num>
  <w:num w:numId="6" w16cid:durableId="2079014988">
    <w:abstractNumId w:val="2"/>
  </w:num>
  <w:num w:numId="7" w16cid:durableId="885217308">
    <w:abstractNumId w:val="5"/>
  </w:num>
  <w:num w:numId="8" w16cid:durableId="1090272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4A"/>
    <w:rsid w:val="0004043F"/>
    <w:rsid w:val="001625F0"/>
    <w:rsid w:val="002867EF"/>
    <w:rsid w:val="002C68A3"/>
    <w:rsid w:val="0034711C"/>
    <w:rsid w:val="00A2640B"/>
    <w:rsid w:val="00A8764A"/>
    <w:rsid w:val="00D64604"/>
    <w:rsid w:val="00F8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83BF"/>
  <w15:chartTrackingRefBased/>
  <w15:docId w15:val="{9D56B22C-A2EC-493B-96D2-3FD76833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64A"/>
    <w:rPr>
      <w:rFonts w:eastAsiaTheme="majorEastAsia" w:cstheme="majorBidi"/>
      <w:color w:val="272727" w:themeColor="text1" w:themeTint="D8"/>
    </w:rPr>
  </w:style>
  <w:style w:type="paragraph" w:styleId="Title">
    <w:name w:val="Title"/>
    <w:basedOn w:val="Normal"/>
    <w:next w:val="Normal"/>
    <w:link w:val="TitleChar"/>
    <w:uiPriority w:val="10"/>
    <w:qFormat/>
    <w:rsid w:val="00A87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64A"/>
    <w:pPr>
      <w:spacing w:before="160"/>
      <w:jc w:val="center"/>
    </w:pPr>
    <w:rPr>
      <w:i/>
      <w:iCs/>
      <w:color w:val="404040" w:themeColor="text1" w:themeTint="BF"/>
    </w:rPr>
  </w:style>
  <w:style w:type="character" w:customStyle="1" w:styleId="QuoteChar">
    <w:name w:val="Quote Char"/>
    <w:basedOn w:val="DefaultParagraphFont"/>
    <w:link w:val="Quote"/>
    <w:uiPriority w:val="29"/>
    <w:rsid w:val="00A8764A"/>
    <w:rPr>
      <w:i/>
      <w:iCs/>
      <w:color w:val="404040" w:themeColor="text1" w:themeTint="BF"/>
    </w:rPr>
  </w:style>
  <w:style w:type="paragraph" w:styleId="ListParagraph">
    <w:name w:val="List Paragraph"/>
    <w:basedOn w:val="Normal"/>
    <w:uiPriority w:val="34"/>
    <w:qFormat/>
    <w:rsid w:val="00A8764A"/>
    <w:pPr>
      <w:ind w:left="720"/>
      <w:contextualSpacing/>
    </w:pPr>
  </w:style>
  <w:style w:type="character" w:styleId="IntenseEmphasis">
    <w:name w:val="Intense Emphasis"/>
    <w:basedOn w:val="DefaultParagraphFont"/>
    <w:uiPriority w:val="21"/>
    <w:qFormat/>
    <w:rsid w:val="00A8764A"/>
    <w:rPr>
      <w:i/>
      <w:iCs/>
      <w:color w:val="0F4761" w:themeColor="accent1" w:themeShade="BF"/>
    </w:rPr>
  </w:style>
  <w:style w:type="paragraph" w:styleId="IntenseQuote">
    <w:name w:val="Intense Quote"/>
    <w:basedOn w:val="Normal"/>
    <w:next w:val="Normal"/>
    <w:link w:val="IntenseQuoteChar"/>
    <w:uiPriority w:val="30"/>
    <w:qFormat/>
    <w:rsid w:val="00A87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64A"/>
    <w:rPr>
      <w:i/>
      <w:iCs/>
      <w:color w:val="0F4761" w:themeColor="accent1" w:themeShade="BF"/>
    </w:rPr>
  </w:style>
  <w:style w:type="character" w:styleId="IntenseReference">
    <w:name w:val="Intense Reference"/>
    <w:basedOn w:val="DefaultParagraphFont"/>
    <w:uiPriority w:val="32"/>
    <w:qFormat/>
    <w:rsid w:val="00A8764A"/>
    <w:rPr>
      <w:b/>
      <w:bCs/>
      <w:smallCaps/>
      <w:color w:val="0F4761" w:themeColor="accent1" w:themeShade="BF"/>
      <w:spacing w:val="5"/>
    </w:rPr>
  </w:style>
  <w:style w:type="character" w:styleId="Hyperlink">
    <w:name w:val="Hyperlink"/>
    <w:basedOn w:val="DefaultParagraphFont"/>
    <w:uiPriority w:val="99"/>
    <w:unhideWhenUsed/>
    <w:rsid w:val="0034711C"/>
    <w:rPr>
      <w:color w:val="467886" w:themeColor="hyperlink"/>
      <w:u w:val="single"/>
    </w:rPr>
  </w:style>
  <w:style w:type="character" w:styleId="UnresolvedMention">
    <w:name w:val="Unresolved Mention"/>
    <w:basedOn w:val="DefaultParagraphFont"/>
    <w:uiPriority w:val="99"/>
    <w:semiHidden/>
    <w:unhideWhenUsed/>
    <w:rsid w:val="00347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183569">
      <w:bodyDiv w:val="1"/>
      <w:marLeft w:val="0"/>
      <w:marRight w:val="0"/>
      <w:marTop w:val="0"/>
      <w:marBottom w:val="0"/>
      <w:divBdr>
        <w:top w:val="none" w:sz="0" w:space="0" w:color="auto"/>
        <w:left w:val="none" w:sz="0" w:space="0" w:color="auto"/>
        <w:bottom w:val="none" w:sz="0" w:space="0" w:color="auto"/>
        <w:right w:val="none" w:sz="0" w:space="0" w:color="auto"/>
      </w:divBdr>
      <w:divsChild>
        <w:div w:id="1480347206">
          <w:marLeft w:val="0"/>
          <w:marRight w:val="0"/>
          <w:marTop w:val="450"/>
          <w:marBottom w:val="450"/>
          <w:divBdr>
            <w:top w:val="none" w:sz="0" w:space="0" w:color="auto"/>
            <w:left w:val="none" w:sz="0" w:space="0" w:color="auto"/>
            <w:bottom w:val="none" w:sz="0" w:space="0" w:color="auto"/>
            <w:right w:val="none" w:sz="0" w:space="0" w:color="auto"/>
          </w:divBdr>
        </w:div>
        <w:div w:id="1318025826">
          <w:marLeft w:val="0"/>
          <w:marRight w:val="0"/>
          <w:marTop w:val="450"/>
          <w:marBottom w:val="450"/>
          <w:divBdr>
            <w:top w:val="none" w:sz="0" w:space="0" w:color="auto"/>
            <w:left w:val="none" w:sz="0" w:space="0" w:color="auto"/>
            <w:bottom w:val="none" w:sz="0" w:space="0" w:color="auto"/>
            <w:right w:val="none" w:sz="0" w:space="0" w:color="auto"/>
          </w:divBdr>
        </w:div>
        <w:div w:id="1850021662">
          <w:marLeft w:val="0"/>
          <w:marRight w:val="0"/>
          <w:marTop w:val="450"/>
          <w:marBottom w:val="450"/>
          <w:divBdr>
            <w:top w:val="none" w:sz="0" w:space="0" w:color="auto"/>
            <w:left w:val="none" w:sz="0" w:space="0" w:color="auto"/>
            <w:bottom w:val="none" w:sz="0" w:space="0" w:color="auto"/>
            <w:right w:val="none" w:sz="0" w:space="0" w:color="auto"/>
          </w:divBdr>
        </w:div>
        <w:div w:id="1762988149">
          <w:marLeft w:val="0"/>
          <w:marRight w:val="0"/>
          <w:marTop w:val="450"/>
          <w:marBottom w:val="450"/>
          <w:divBdr>
            <w:top w:val="none" w:sz="0" w:space="0" w:color="auto"/>
            <w:left w:val="none" w:sz="0" w:space="0" w:color="auto"/>
            <w:bottom w:val="none" w:sz="0" w:space="0" w:color="auto"/>
            <w:right w:val="none" w:sz="0" w:space="0" w:color="auto"/>
          </w:divBdr>
        </w:div>
        <w:div w:id="367264179">
          <w:marLeft w:val="0"/>
          <w:marRight w:val="0"/>
          <w:marTop w:val="240"/>
          <w:marBottom w:val="240"/>
          <w:divBdr>
            <w:top w:val="none" w:sz="0" w:space="0" w:color="auto"/>
            <w:left w:val="none" w:sz="0" w:space="0" w:color="auto"/>
            <w:bottom w:val="none" w:sz="0" w:space="0" w:color="auto"/>
            <w:right w:val="none" w:sz="0" w:space="0" w:color="auto"/>
          </w:divBdr>
        </w:div>
      </w:divsChild>
    </w:div>
    <w:div w:id="1290820438">
      <w:bodyDiv w:val="1"/>
      <w:marLeft w:val="0"/>
      <w:marRight w:val="0"/>
      <w:marTop w:val="0"/>
      <w:marBottom w:val="0"/>
      <w:divBdr>
        <w:top w:val="none" w:sz="0" w:space="0" w:color="auto"/>
        <w:left w:val="none" w:sz="0" w:space="0" w:color="auto"/>
        <w:bottom w:val="none" w:sz="0" w:space="0" w:color="auto"/>
        <w:right w:val="none" w:sz="0" w:space="0" w:color="auto"/>
      </w:divBdr>
      <w:divsChild>
        <w:div w:id="445858259">
          <w:marLeft w:val="0"/>
          <w:marRight w:val="0"/>
          <w:marTop w:val="0"/>
          <w:marBottom w:val="150"/>
          <w:divBdr>
            <w:top w:val="none" w:sz="0" w:space="0" w:color="auto"/>
            <w:left w:val="none" w:sz="0" w:space="0" w:color="auto"/>
            <w:bottom w:val="none" w:sz="0" w:space="0" w:color="auto"/>
            <w:right w:val="none" w:sz="0" w:space="0" w:color="auto"/>
          </w:divBdr>
        </w:div>
        <w:div w:id="1589576835">
          <w:marLeft w:val="0"/>
          <w:marRight w:val="0"/>
          <w:marTop w:val="150"/>
          <w:marBottom w:val="300"/>
          <w:divBdr>
            <w:top w:val="none" w:sz="0" w:space="0" w:color="auto"/>
            <w:left w:val="none" w:sz="0" w:space="0" w:color="auto"/>
            <w:bottom w:val="none" w:sz="0" w:space="0" w:color="auto"/>
            <w:right w:val="none" w:sz="0" w:space="0" w:color="auto"/>
          </w:divBdr>
        </w:div>
        <w:div w:id="439883025">
          <w:marLeft w:val="0"/>
          <w:marRight w:val="0"/>
          <w:marTop w:val="300"/>
          <w:marBottom w:val="150"/>
          <w:divBdr>
            <w:top w:val="none" w:sz="0" w:space="0" w:color="auto"/>
            <w:left w:val="none" w:sz="0" w:space="0" w:color="auto"/>
            <w:bottom w:val="none" w:sz="0" w:space="0" w:color="auto"/>
            <w:right w:val="none" w:sz="0" w:space="0" w:color="auto"/>
          </w:divBdr>
        </w:div>
        <w:div w:id="1953197102">
          <w:marLeft w:val="0"/>
          <w:marRight w:val="0"/>
          <w:marTop w:val="300"/>
          <w:marBottom w:val="150"/>
          <w:divBdr>
            <w:top w:val="none" w:sz="0" w:space="0" w:color="auto"/>
            <w:left w:val="none" w:sz="0" w:space="0" w:color="auto"/>
            <w:bottom w:val="none" w:sz="0" w:space="0" w:color="auto"/>
            <w:right w:val="none" w:sz="0" w:space="0" w:color="auto"/>
          </w:divBdr>
        </w:div>
        <w:div w:id="1398936447">
          <w:marLeft w:val="0"/>
          <w:marRight w:val="0"/>
          <w:marTop w:val="300"/>
          <w:marBottom w:val="150"/>
          <w:divBdr>
            <w:top w:val="none" w:sz="0" w:space="0" w:color="auto"/>
            <w:left w:val="none" w:sz="0" w:space="0" w:color="auto"/>
            <w:bottom w:val="none" w:sz="0" w:space="0" w:color="auto"/>
            <w:right w:val="none" w:sz="0" w:space="0" w:color="auto"/>
          </w:divBdr>
        </w:div>
        <w:div w:id="781339757">
          <w:marLeft w:val="0"/>
          <w:marRight w:val="0"/>
          <w:marTop w:val="300"/>
          <w:marBottom w:val="150"/>
          <w:divBdr>
            <w:top w:val="none" w:sz="0" w:space="0" w:color="auto"/>
            <w:left w:val="none" w:sz="0" w:space="0" w:color="auto"/>
            <w:bottom w:val="none" w:sz="0" w:space="0" w:color="auto"/>
            <w:right w:val="none" w:sz="0" w:space="0" w:color="auto"/>
          </w:divBdr>
        </w:div>
        <w:div w:id="198052830">
          <w:marLeft w:val="0"/>
          <w:marRight w:val="0"/>
          <w:marTop w:val="150"/>
          <w:marBottom w:val="300"/>
          <w:divBdr>
            <w:top w:val="none" w:sz="0" w:space="0" w:color="auto"/>
            <w:left w:val="none" w:sz="0" w:space="0" w:color="auto"/>
            <w:bottom w:val="none" w:sz="0" w:space="0" w:color="auto"/>
            <w:right w:val="none" w:sz="0" w:space="0" w:color="auto"/>
          </w:divBdr>
        </w:div>
      </w:divsChild>
    </w:div>
    <w:div w:id="1459910809">
      <w:bodyDiv w:val="1"/>
      <w:marLeft w:val="0"/>
      <w:marRight w:val="0"/>
      <w:marTop w:val="0"/>
      <w:marBottom w:val="0"/>
      <w:divBdr>
        <w:top w:val="none" w:sz="0" w:space="0" w:color="auto"/>
        <w:left w:val="none" w:sz="0" w:space="0" w:color="auto"/>
        <w:bottom w:val="none" w:sz="0" w:space="0" w:color="auto"/>
        <w:right w:val="none" w:sz="0" w:space="0" w:color="auto"/>
      </w:divBdr>
      <w:divsChild>
        <w:div w:id="1010445117">
          <w:marLeft w:val="0"/>
          <w:marRight w:val="0"/>
          <w:marTop w:val="450"/>
          <w:marBottom w:val="450"/>
          <w:divBdr>
            <w:top w:val="none" w:sz="0" w:space="0" w:color="auto"/>
            <w:left w:val="none" w:sz="0" w:space="0" w:color="auto"/>
            <w:bottom w:val="none" w:sz="0" w:space="0" w:color="auto"/>
            <w:right w:val="none" w:sz="0" w:space="0" w:color="auto"/>
          </w:divBdr>
        </w:div>
        <w:div w:id="243028838">
          <w:marLeft w:val="0"/>
          <w:marRight w:val="0"/>
          <w:marTop w:val="450"/>
          <w:marBottom w:val="450"/>
          <w:divBdr>
            <w:top w:val="none" w:sz="0" w:space="0" w:color="auto"/>
            <w:left w:val="none" w:sz="0" w:space="0" w:color="auto"/>
            <w:bottom w:val="none" w:sz="0" w:space="0" w:color="auto"/>
            <w:right w:val="none" w:sz="0" w:space="0" w:color="auto"/>
          </w:divBdr>
        </w:div>
        <w:div w:id="884870929">
          <w:marLeft w:val="0"/>
          <w:marRight w:val="0"/>
          <w:marTop w:val="450"/>
          <w:marBottom w:val="450"/>
          <w:divBdr>
            <w:top w:val="none" w:sz="0" w:space="0" w:color="auto"/>
            <w:left w:val="none" w:sz="0" w:space="0" w:color="auto"/>
            <w:bottom w:val="none" w:sz="0" w:space="0" w:color="auto"/>
            <w:right w:val="none" w:sz="0" w:space="0" w:color="auto"/>
          </w:divBdr>
        </w:div>
        <w:div w:id="1772434552">
          <w:marLeft w:val="0"/>
          <w:marRight w:val="0"/>
          <w:marTop w:val="450"/>
          <w:marBottom w:val="450"/>
          <w:divBdr>
            <w:top w:val="none" w:sz="0" w:space="0" w:color="auto"/>
            <w:left w:val="none" w:sz="0" w:space="0" w:color="auto"/>
            <w:bottom w:val="none" w:sz="0" w:space="0" w:color="auto"/>
            <w:right w:val="none" w:sz="0" w:space="0" w:color="auto"/>
          </w:divBdr>
        </w:div>
        <w:div w:id="129363058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scape.io/what-is-capability-analysis-introduction-to-cp-and-cpk/" TargetMode="External"/><Relationship Id="rId3" Type="http://schemas.openxmlformats.org/officeDocument/2006/relationships/settings" Target="settings.xml"/><Relationship Id="rId7" Type="http://schemas.openxmlformats.org/officeDocument/2006/relationships/hyperlink" Target="https://www.zintilon.com/blog/surface-roughness-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dandtbasics.com/basics-of-surface-finish/" TargetMode="External"/><Relationship Id="rId5" Type="http://schemas.openxmlformats.org/officeDocument/2006/relationships/hyperlink" Target="https://www.gdandtbasics.com/true-posi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3</cp:revision>
  <dcterms:created xsi:type="dcterms:W3CDTF">2025-07-11T23:52:00Z</dcterms:created>
  <dcterms:modified xsi:type="dcterms:W3CDTF">2025-07-12T00:02:00Z</dcterms:modified>
</cp:coreProperties>
</file>