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EF9ABE" w14:textId="43896397" w:rsidR="003171F7" w:rsidRPr="003E1290" w:rsidRDefault="00E61F70" w:rsidP="0053144E">
      <w:pPr>
        <w:ind w:firstLine="0"/>
        <w:jc w:val="center"/>
        <w:rPr>
          <w:rFonts w:asciiTheme="minorHAnsi" w:hAnsiTheme="minorHAnsi" w:cstheme="minorHAnsi"/>
          <w:b/>
        </w:rPr>
      </w:pPr>
      <w:r w:rsidRPr="003E1290">
        <w:rPr>
          <w:rFonts w:asciiTheme="minorHAnsi" w:hAnsiTheme="minorHAnsi" w:cstheme="minorHAnsi"/>
          <w:b/>
        </w:rPr>
        <w:t xml:space="preserve">Descripción y aplicación de los modelos de gestión de indicadores de calidad del servicio de enfermería del área de emergencia del </w:t>
      </w:r>
      <w:bookmarkStart w:id="0" w:name="_Hlk164716031"/>
      <w:r w:rsidRPr="003E1290">
        <w:rPr>
          <w:rFonts w:asciiTheme="minorHAnsi" w:hAnsiTheme="minorHAnsi" w:cstheme="minorHAnsi"/>
          <w:b/>
        </w:rPr>
        <w:t>Hospital General de Norte de Guayaquil, Los Ceibos.</w:t>
      </w:r>
      <w:bookmarkEnd w:id="0"/>
    </w:p>
    <w:p w14:paraId="48B53A57" w14:textId="1AE47CFF" w:rsidR="00326185" w:rsidRPr="003E1290" w:rsidRDefault="00326185"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t>Introducción</w:t>
      </w:r>
    </w:p>
    <w:p w14:paraId="2958496D" w14:textId="77777777"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La atención de salud es un pilar fundamental en la estrategia de bienestar de cualquier sociedad, y dentro de este contexto, el servicio de enfermería desempeña un rol crucial, especialmente en las áreas de emergencia. Los servicios de urgencias y emergencias están diseñados para atender situaciones críticas y demandas inmediatas, exigiendo a los profesionales de la enfermería un alto nivel de competencia, agilidad y calidad en la atención. Para asegurar que estas características sean cumplidas de manera efectiva, los modelos de gestión de indicadores de calidad del servicio de enfermería se presentan como herramientas esenciales en la evaluación y mejora continua de la atención brindada.</w:t>
      </w:r>
    </w:p>
    <w:p w14:paraId="6366CFB0" w14:textId="77777777"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Los modelos de gestión de indicadores de calidad permiten medir, analizar y actuar sobre diversas dimensiones de la atención en salud. Esto incluye aspectos relacionados con la seguridad del paciente, la eficacia en el tratamiento, la satisfacción del usuario y la eficiencia en la gestión de recursos. En el contexto de las áreas de emergencia, donde el tiempo y la rapidez de respuesta son vitales, estos modelos no solo contribuyen a elevar la calidad del servicio, sino que también facilitan una atención centrada en el paciente, promoviendo resultados positivos tanto para los usuarios como para los profesionales de la salud.</w:t>
      </w:r>
    </w:p>
    <w:p w14:paraId="309F469E" w14:textId="77777777"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Uno de los principales desafíos en la implementación de estos modelos es el establecimiento de indicadores que sean relevantes, medibles y aplicables a la práctica diaria. Los indicadores de calidad deben reflejar tanto los procesos como los resultados de la atención, abarcando áreas como la formación continua del personal, la gestión del dolor, la administración adecuada de medicamentos, y la comunicación con el paciente y su familia. Asimismo, es fundamental que los modelos de gestión integren la perspectiva del equipo de enfermería, ya que son ellos quienes están en contacto directo con los pacientes y pueden ofrecer información valiosa sobre las áreas de mejora y las mejores prácticas.</w:t>
      </w:r>
    </w:p>
    <w:p w14:paraId="20098669" w14:textId="7224776C"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La importancia de utilizar modelos de gestión de indicadores de calidad en las áreas de emergencia radica también en la capacidad de estos sistemas para detectar áreas de riesgo y oportunidades de mejora. Los datos recolectados a través de estos modelos no solo permiten monitorear la calidad de la atención, sino que también facilitan la identificación de tendencias y patrones que pueden afectar la práctica enfermera y, por ende, la salud de los pacientes. Por ejemplo, una alta tasa de reingresos en pacientes que han sido atendidos en emergencias puede indicar problemas en el proceso de atención que requieren una revisión exhaustiva y la implementación de estrategias correctivas.</w:t>
      </w:r>
    </w:p>
    <w:p w14:paraId="2876409D" w14:textId="4519B10F"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 xml:space="preserve">Por último, es importante mencionar que el desarrollo de modelos de gestión de indicadores de calidad en el ámbito de la enfermería de emergencia no puede llevarse a cabo en un vacío. Es necesario fomentar una cultura de calidad y mejora continua dentro de las instituciones de </w:t>
      </w:r>
      <w:r w:rsidR="00BE692A" w:rsidRPr="003E1290">
        <w:rPr>
          <w:rFonts w:asciiTheme="minorHAnsi" w:hAnsiTheme="minorHAnsi" w:cstheme="minorHAnsi"/>
          <w:sz w:val="22"/>
        </w:rPr>
        <w:t xml:space="preserve">salud, donde todos los actores </w:t>
      </w:r>
      <w:r w:rsidRPr="003E1290">
        <w:rPr>
          <w:rFonts w:asciiTheme="minorHAnsi" w:hAnsiTheme="minorHAnsi" w:cstheme="minorHAnsi"/>
          <w:sz w:val="22"/>
        </w:rPr>
        <w:t xml:space="preserve">desde la alta dirección hasta </w:t>
      </w:r>
      <w:r w:rsidR="00BE692A" w:rsidRPr="003E1290">
        <w:rPr>
          <w:rFonts w:asciiTheme="minorHAnsi" w:hAnsiTheme="minorHAnsi" w:cstheme="minorHAnsi"/>
          <w:sz w:val="22"/>
        </w:rPr>
        <w:t>el personal de atención directa,</w:t>
      </w:r>
      <w:r w:rsidRPr="003E1290">
        <w:rPr>
          <w:rFonts w:asciiTheme="minorHAnsi" w:hAnsiTheme="minorHAnsi" w:cstheme="minorHAnsi"/>
          <w:sz w:val="22"/>
        </w:rPr>
        <w:t xml:space="preserve"> se sientan comprometidos con la calidad del servicio y la seguridad del paciente. Promover la formación y capacitación en este ámbito no solo es crucial para el desarrollo profesional del personal de enfermería, sino que también garantiza que la atención brindada a los pacientes cumpla con los estándares más altos de calidad y excelencia.</w:t>
      </w:r>
    </w:p>
    <w:p w14:paraId="5600AA55" w14:textId="2D845CA8" w:rsidR="006F1CF9" w:rsidRPr="003E1290" w:rsidRDefault="006F1CF9" w:rsidP="0053144E">
      <w:pPr>
        <w:rPr>
          <w:rFonts w:asciiTheme="minorHAnsi" w:hAnsiTheme="minorHAnsi" w:cstheme="minorHAnsi"/>
          <w:sz w:val="22"/>
        </w:rPr>
      </w:pPr>
      <w:r w:rsidRPr="003E1290">
        <w:rPr>
          <w:rFonts w:asciiTheme="minorHAnsi" w:hAnsiTheme="minorHAnsi" w:cstheme="minorHAnsi"/>
          <w:sz w:val="22"/>
        </w:rPr>
        <w:t xml:space="preserve">En suma, los modelos de gestión de indicadores de calidad del servicio de enfermería son herramientas fundamentales para la mejora continua de la atención en las áreas de emergencia. La implementación de estos modelos, apoyada por un enfoque multidisciplinario y un uso eficaz de la tecnología, puede transformar la forma en que se brinda atención en situaciones críticas y contribuir a la construcción de sistemas de salud más seguros, eficientes y centrados en el paciente. En lo que resta de este trabajo, se abordarán en detalle los principales modelos de gestión de indicadores de calidad en el servicio de enfermería, su </w:t>
      </w:r>
      <w:r w:rsidRPr="003E1290">
        <w:rPr>
          <w:rFonts w:asciiTheme="minorHAnsi" w:hAnsiTheme="minorHAnsi" w:cstheme="minorHAnsi"/>
          <w:sz w:val="22"/>
        </w:rPr>
        <w:lastRenderedPageBreak/>
        <w:t>aplicación en el ámbito de emergencias, así como ejemplos de mejores prácticas y recomendaciones para su implementación exitosa.</w:t>
      </w:r>
    </w:p>
    <w:p w14:paraId="0077411A" w14:textId="77777777" w:rsidR="00391D7E" w:rsidRPr="003E1290" w:rsidRDefault="00391D7E"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t>Objetivos generales</w:t>
      </w:r>
    </w:p>
    <w:p w14:paraId="5077589C" w14:textId="79AE36D6" w:rsidR="00391D7E" w:rsidRPr="003E1290" w:rsidRDefault="00391D7E" w:rsidP="0053144E">
      <w:pPr>
        <w:rPr>
          <w:rFonts w:asciiTheme="minorHAnsi" w:hAnsiTheme="minorHAnsi" w:cstheme="minorHAnsi"/>
          <w:sz w:val="22"/>
        </w:rPr>
      </w:pPr>
      <w:r w:rsidRPr="003E1290">
        <w:rPr>
          <w:rFonts w:asciiTheme="minorHAnsi" w:hAnsiTheme="minorHAnsi" w:cstheme="minorHAnsi"/>
          <w:sz w:val="22"/>
        </w:rPr>
        <w:t xml:space="preserve">Realizar una evaluación </w:t>
      </w:r>
      <w:r w:rsidR="007972FE" w:rsidRPr="003E1290">
        <w:rPr>
          <w:rFonts w:asciiTheme="minorHAnsi" w:hAnsiTheme="minorHAnsi" w:cstheme="minorHAnsi"/>
          <w:sz w:val="22"/>
        </w:rPr>
        <w:t xml:space="preserve">de la calidad de los servicios de enfermería con el fin de </w:t>
      </w:r>
      <w:r w:rsidRPr="003E1290">
        <w:rPr>
          <w:rFonts w:asciiTheme="minorHAnsi" w:hAnsiTheme="minorHAnsi" w:cstheme="minorHAnsi"/>
          <w:sz w:val="22"/>
        </w:rPr>
        <w:t>gener</w:t>
      </w:r>
      <w:r w:rsidR="007972FE" w:rsidRPr="003E1290">
        <w:rPr>
          <w:rFonts w:asciiTheme="minorHAnsi" w:hAnsiTheme="minorHAnsi" w:cstheme="minorHAnsi"/>
          <w:sz w:val="22"/>
        </w:rPr>
        <w:t>ar</w:t>
      </w:r>
      <w:r w:rsidRPr="003E1290">
        <w:rPr>
          <w:rFonts w:asciiTheme="minorHAnsi" w:hAnsiTheme="minorHAnsi" w:cstheme="minorHAnsi"/>
          <w:sz w:val="22"/>
        </w:rPr>
        <w:t xml:space="preserve"> información útil para la toma de decisiones </w:t>
      </w:r>
      <w:r w:rsidR="007972FE" w:rsidRPr="003E1290">
        <w:rPr>
          <w:rFonts w:asciiTheme="minorHAnsi" w:hAnsiTheme="minorHAnsi" w:cstheme="minorHAnsi"/>
          <w:sz w:val="22"/>
        </w:rPr>
        <w:t xml:space="preserve">del área de emergencia del </w:t>
      </w:r>
      <w:bookmarkStart w:id="1" w:name="_Hlk165064478"/>
      <w:r w:rsidR="00895FEB" w:rsidRPr="003E1290">
        <w:rPr>
          <w:rFonts w:asciiTheme="minorHAnsi" w:eastAsia="Times New Roman" w:hAnsiTheme="minorHAnsi" w:cstheme="minorHAnsi"/>
          <w:sz w:val="22"/>
          <w:lang w:eastAsia="pt-BR"/>
        </w:rPr>
        <w:t>Hospital General del Norte de los ceibos Guayaquil.</w:t>
      </w:r>
    </w:p>
    <w:bookmarkEnd w:id="1"/>
    <w:p w14:paraId="6401C76D" w14:textId="77777777" w:rsidR="00391D7E" w:rsidRPr="003E1290" w:rsidRDefault="00391D7E" w:rsidP="0053144E">
      <w:pPr>
        <w:pStyle w:val="Ttulo2"/>
        <w:rPr>
          <w:rFonts w:asciiTheme="minorHAnsi" w:hAnsiTheme="minorHAnsi" w:cstheme="minorHAnsi"/>
          <w:sz w:val="22"/>
          <w:szCs w:val="22"/>
        </w:rPr>
      </w:pPr>
      <w:r w:rsidRPr="003E1290">
        <w:rPr>
          <w:rFonts w:asciiTheme="minorHAnsi" w:hAnsiTheme="minorHAnsi" w:cstheme="minorHAnsi"/>
          <w:sz w:val="22"/>
          <w:szCs w:val="22"/>
        </w:rPr>
        <w:t>Objetivos específicos</w:t>
      </w:r>
    </w:p>
    <w:p w14:paraId="7830F1EC" w14:textId="5E9E79D8" w:rsidR="00391D7E" w:rsidRPr="003E1290" w:rsidRDefault="00391D7E" w:rsidP="0053144E">
      <w:pPr>
        <w:pStyle w:val="Prrafodelista"/>
        <w:numPr>
          <w:ilvl w:val="0"/>
          <w:numId w:val="36"/>
        </w:numPr>
        <w:rPr>
          <w:rFonts w:asciiTheme="minorHAnsi" w:hAnsiTheme="minorHAnsi" w:cstheme="minorHAnsi"/>
          <w:sz w:val="22"/>
        </w:rPr>
      </w:pPr>
      <w:r w:rsidRPr="003E1290">
        <w:rPr>
          <w:rFonts w:asciiTheme="minorHAnsi" w:hAnsiTheme="minorHAnsi" w:cstheme="minorHAnsi"/>
          <w:sz w:val="22"/>
        </w:rPr>
        <w:t xml:space="preserve">Descripción del modelo de </w:t>
      </w:r>
      <w:proofErr w:type="spellStart"/>
      <w:r w:rsidRPr="003E1290">
        <w:rPr>
          <w:rFonts w:asciiTheme="minorHAnsi" w:hAnsiTheme="minorHAnsi" w:cstheme="minorHAnsi"/>
          <w:sz w:val="22"/>
        </w:rPr>
        <w:t>Avedis</w:t>
      </w:r>
      <w:proofErr w:type="spellEnd"/>
      <w:r w:rsidRPr="003E1290">
        <w:rPr>
          <w:rFonts w:asciiTheme="minorHAnsi" w:hAnsiTheme="minorHAnsi" w:cstheme="minorHAnsi"/>
          <w:sz w:val="22"/>
        </w:rPr>
        <w:t xml:space="preserv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El cual proporciona un marco para examinar los servicios de salud y evaluar la calidad de la atención médica.</w:t>
      </w:r>
    </w:p>
    <w:p w14:paraId="36B04435" w14:textId="34D85E24" w:rsidR="00CA5475" w:rsidRPr="003E1290" w:rsidRDefault="00CA5475" w:rsidP="0053144E">
      <w:pPr>
        <w:pStyle w:val="Prrafodelista"/>
        <w:numPr>
          <w:ilvl w:val="0"/>
          <w:numId w:val="36"/>
        </w:numPr>
        <w:rPr>
          <w:rFonts w:asciiTheme="minorHAnsi" w:hAnsiTheme="minorHAnsi" w:cstheme="minorHAnsi"/>
          <w:sz w:val="22"/>
        </w:rPr>
      </w:pPr>
      <w:r w:rsidRPr="003E1290">
        <w:rPr>
          <w:rFonts w:asciiTheme="minorHAnsi" w:hAnsiTheme="minorHAnsi" w:cstheme="minorHAnsi"/>
          <w:sz w:val="22"/>
        </w:rPr>
        <w:t xml:space="preserve">Aplicar y analizar indicadores de estructura, proceso y resultado del área de emergencia, conforme al modelo de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para valorar la calidad de los servicios de enfermería del área de emergencia del Hospital General de Norte de Guayaquil, Los Ceibos.</w:t>
      </w:r>
    </w:p>
    <w:p w14:paraId="49DCA302" w14:textId="6239CC61" w:rsidR="00776B82" w:rsidRPr="003E1290" w:rsidRDefault="00776B82"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t>Marco teórico</w:t>
      </w:r>
    </w:p>
    <w:p w14:paraId="48B5969D" w14:textId="3A6E95D9" w:rsidR="00776B82" w:rsidRPr="003E1290" w:rsidRDefault="00776B82" w:rsidP="0053144E">
      <w:pPr>
        <w:pStyle w:val="Ttulo2"/>
        <w:rPr>
          <w:rFonts w:asciiTheme="minorHAnsi" w:hAnsiTheme="minorHAnsi" w:cstheme="minorHAnsi"/>
          <w:sz w:val="22"/>
          <w:szCs w:val="22"/>
        </w:rPr>
      </w:pPr>
      <w:r w:rsidRPr="003E1290">
        <w:rPr>
          <w:rFonts w:asciiTheme="minorHAnsi" w:hAnsiTheme="minorHAnsi" w:cstheme="minorHAnsi"/>
          <w:sz w:val="22"/>
          <w:szCs w:val="22"/>
        </w:rPr>
        <w:t xml:space="preserve">Modelo de </w:t>
      </w:r>
      <w:bookmarkStart w:id="2" w:name="_Hlk165063622"/>
      <w:proofErr w:type="spellStart"/>
      <w:r w:rsidRPr="003E1290">
        <w:rPr>
          <w:rFonts w:asciiTheme="minorHAnsi" w:hAnsiTheme="minorHAnsi" w:cstheme="minorHAnsi"/>
          <w:sz w:val="22"/>
          <w:szCs w:val="22"/>
        </w:rPr>
        <w:t>Avedis</w:t>
      </w:r>
      <w:proofErr w:type="spellEnd"/>
      <w:r w:rsidRPr="003E1290">
        <w:rPr>
          <w:rFonts w:asciiTheme="minorHAnsi" w:hAnsiTheme="minorHAnsi" w:cstheme="minorHAnsi"/>
          <w:sz w:val="22"/>
          <w:szCs w:val="22"/>
        </w:rPr>
        <w:t xml:space="preserve"> </w:t>
      </w:r>
      <w:proofErr w:type="spellStart"/>
      <w:r w:rsidRPr="003E1290">
        <w:rPr>
          <w:rFonts w:asciiTheme="minorHAnsi" w:hAnsiTheme="minorHAnsi" w:cstheme="minorHAnsi"/>
          <w:sz w:val="22"/>
          <w:szCs w:val="22"/>
        </w:rPr>
        <w:t>Donabedian</w:t>
      </w:r>
      <w:bookmarkEnd w:id="2"/>
      <w:proofErr w:type="spellEnd"/>
    </w:p>
    <w:p w14:paraId="2AD24513" w14:textId="77777777" w:rsidR="00817E0D" w:rsidRPr="003E1290" w:rsidRDefault="00817E0D" w:rsidP="0053144E">
      <w:pPr>
        <w:rPr>
          <w:rFonts w:asciiTheme="minorHAnsi" w:hAnsiTheme="minorHAnsi" w:cstheme="minorHAnsi"/>
          <w:sz w:val="22"/>
        </w:rPr>
      </w:pPr>
      <w:r w:rsidRPr="003E1290">
        <w:rPr>
          <w:rFonts w:asciiTheme="minorHAnsi" w:hAnsiTheme="minorHAnsi" w:cstheme="minorHAnsi"/>
          <w:sz w:val="22"/>
        </w:rPr>
        <w:t xml:space="preserve">El modelo de </w:t>
      </w:r>
      <w:proofErr w:type="spellStart"/>
      <w:r w:rsidRPr="003E1290">
        <w:rPr>
          <w:rFonts w:asciiTheme="minorHAnsi" w:hAnsiTheme="minorHAnsi" w:cstheme="minorHAnsi"/>
          <w:sz w:val="22"/>
        </w:rPr>
        <w:t>Avedis</w:t>
      </w:r>
      <w:proofErr w:type="spellEnd"/>
      <w:r w:rsidRPr="003E1290">
        <w:rPr>
          <w:rFonts w:asciiTheme="minorHAnsi" w:hAnsiTheme="minorHAnsi" w:cstheme="minorHAnsi"/>
          <w:sz w:val="22"/>
        </w:rPr>
        <w:t xml:space="preserv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xml:space="preserve"> es un marco teórico fundamental en el ámbito de la calidad de la atención médica, desarrollado en la década de 1960. Este modelo ha sido ampliamente utilizado para examinar y evaluar los servicios de salud, proporcionando una estructura clara para entender los diversos aspectos que intervienen en la atención sanitaria.</w:t>
      </w:r>
    </w:p>
    <w:p w14:paraId="048D2410" w14:textId="690C2817" w:rsidR="00D30E97" w:rsidRPr="003E1290" w:rsidRDefault="00817E0D" w:rsidP="0053144E">
      <w:pPr>
        <w:rPr>
          <w:rFonts w:asciiTheme="minorHAnsi" w:hAnsiTheme="minorHAnsi" w:cstheme="minorHAnsi"/>
          <w:sz w:val="22"/>
        </w:rPr>
      </w:pP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xml:space="preserve"> propuso que la calidad de la atención médica puede analizarse a través de tres </w:t>
      </w:r>
      <w:r w:rsidR="007A1C99" w:rsidRPr="003E1290">
        <w:rPr>
          <w:rFonts w:asciiTheme="minorHAnsi" w:hAnsiTheme="minorHAnsi" w:cstheme="minorHAnsi"/>
          <w:sz w:val="22"/>
        </w:rPr>
        <w:t>dimensiones interrelacionadas: Estructura, P</w:t>
      </w:r>
      <w:r w:rsidRPr="003E1290">
        <w:rPr>
          <w:rFonts w:asciiTheme="minorHAnsi" w:hAnsiTheme="minorHAnsi" w:cstheme="minorHAnsi"/>
          <w:sz w:val="22"/>
        </w:rPr>
        <w:t>roceso</w:t>
      </w:r>
      <w:r w:rsidR="007A1C99" w:rsidRPr="003E1290">
        <w:rPr>
          <w:rFonts w:asciiTheme="minorHAnsi" w:hAnsiTheme="minorHAnsi" w:cstheme="minorHAnsi"/>
          <w:sz w:val="22"/>
        </w:rPr>
        <w:t xml:space="preserve"> y Resultado</w:t>
      </w:r>
      <w:r w:rsidRPr="003E1290">
        <w:rPr>
          <w:rFonts w:asciiTheme="minorHAnsi" w:hAnsiTheme="minorHAnsi" w:cstheme="minorHAnsi"/>
          <w:sz w:val="22"/>
        </w:rPr>
        <w:t>. Esta revisión analizará cada uno de estos componentes y su relevancia en la medición de la calidad en los servicios de salud.</w:t>
      </w:r>
    </w:p>
    <w:p w14:paraId="126AF0AC" w14:textId="77777777" w:rsidR="0053144E" w:rsidRPr="003E1290" w:rsidRDefault="0053144E" w:rsidP="0053144E">
      <w:pPr>
        <w:rPr>
          <w:rFonts w:asciiTheme="minorHAnsi" w:hAnsiTheme="minorHAnsi" w:cstheme="minorHAnsi"/>
          <w:sz w:val="22"/>
        </w:rPr>
      </w:pPr>
    </w:p>
    <w:p w14:paraId="5CBEFF6F" w14:textId="453104AC" w:rsidR="00817E0D" w:rsidRPr="003E1290" w:rsidRDefault="006A0965" w:rsidP="0053144E">
      <w:pPr>
        <w:pStyle w:val="Ttulo3"/>
        <w:rPr>
          <w:rFonts w:asciiTheme="minorHAnsi" w:hAnsiTheme="minorHAnsi" w:cstheme="minorHAnsi"/>
          <w:sz w:val="22"/>
          <w:szCs w:val="22"/>
        </w:rPr>
      </w:pPr>
      <w:r w:rsidRPr="003E1290">
        <w:rPr>
          <w:rFonts w:asciiTheme="minorHAnsi" w:hAnsiTheme="minorHAnsi" w:cstheme="minorHAnsi"/>
          <w:sz w:val="22"/>
          <w:szCs w:val="22"/>
        </w:rPr>
        <w:t>Indicadores de Estructura</w:t>
      </w:r>
    </w:p>
    <w:p w14:paraId="3ECB9D72" w14:textId="0B5ADCB6" w:rsidR="00CE7A10" w:rsidRPr="003E1290" w:rsidRDefault="00295001" w:rsidP="0053144E">
      <w:pPr>
        <w:rPr>
          <w:rFonts w:asciiTheme="minorHAnsi" w:hAnsiTheme="minorHAnsi" w:cstheme="minorHAnsi"/>
          <w:sz w:val="22"/>
        </w:rPr>
      </w:pPr>
      <w:r w:rsidRPr="003E1290">
        <w:rPr>
          <w:rFonts w:asciiTheme="minorHAnsi" w:hAnsiTheme="minorHAnsi" w:cstheme="minorHAnsi"/>
          <w:sz w:val="22"/>
        </w:rPr>
        <w:t xml:space="preserve">Los indicadores de Estructura en el Modelo de </w:t>
      </w:r>
      <w:proofErr w:type="spellStart"/>
      <w:r w:rsidRPr="003E1290">
        <w:rPr>
          <w:rFonts w:asciiTheme="minorHAnsi" w:hAnsiTheme="minorHAnsi" w:cstheme="minorHAnsi"/>
          <w:sz w:val="22"/>
        </w:rPr>
        <w:t>Avedis</w:t>
      </w:r>
      <w:proofErr w:type="spellEnd"/>
      <w:r w:rsidRPr="003E1290">
        <w:rPr>
          <w:rFonts w:asciiTheme="minorHAnsi" w:hAnsiTheme="minorHAnsi" w:cstheme="minorHAnsi"/>
          <w:sz w:val="22"/>
        </w:rPr>
        <w:t xml:space="preserv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xml:space="preserve"> se refieren a las características y condiciones de los recursos disponibles en un sistema de salud, es decir,</w:t>
      </w:r>
      <w:r w:rsidR="00817E0D" w:rsidRPr="003E1290">
        <w:rPr>
          <w:rFonts w:asciiTheme="minorHAnsi" w:hAnsiTheme="minorHAnsi" w:cstheme="minorHAnsi"/>
          <w:sz w:val="22"/>
        </w:rPr>
        <w:t xml:space="preserve"> las características del entorno en el que se brinda la atención. Incluye aspectos como la infraestructura física, los recursos humanos, las políticas administrativas y la tecnología disponible. Según </w:t>
      </w:r>
      <w:proofErr w:type="spellStart"/>
      <w:r w:rsidR="00817E0D" w:rsidRPr="003E1290">
        <w:rPr>
          <w:rFonts w:asciiTheme="minorHAnsi" w:hAnsiTheme="minorHAnsi" w:cstheme="minorHAnsi"/>
          <w:sz w:val="22"/>
        </w:rPr>
        <w:t>Donabedian</w:t>
      </w:r>
      <w:proofErr w:type="spellEnd"/>
      <w:r w:rsidR="00817E0D" w:rsidRPr="003E1290">
        <w:rPr>
          <w:rFonts w:asciiTheme="minorHAnsi" w:hAnsiTheme="minorHAnsi" w:cstheme="minorHAnsi"/>
          <w:sz w:val="22"/>
        </w:rPr>
        <w:t>, la calidad de la atención está influenciada por la calidad de la estructura organizacional.</w:t>
      </w:r>
    </w:p>
    <w:p w14:paraId="513355E5" w14:textId="37D1F45B" w:rsidR="00CE7A10" w:rsidRPr="003E1290" w:rsidRDefault="00817E0D" w:rsidP="0053144E">
      <w:pPr>
        <w:rPr>
          <w:rFonts w:asciiTheme="minorHAnsi" w:hAnsiTheme="minorHAnsi" w:cstheme="minorHAnsi"/>
          <w:sz w:val="22"/>
        </w:rPr>
      </w:pPr>
      <w:r w:rsidRPr="003E1290">
        <w:rPr>
          <w:rFonts w:asciiTheme="minorHAnsi" w:hAnsiTheme="minorHAnsi" w:cstheme="minorHAnsi"/>
          <w:sz w:val="22"/>
        </w:rPr>
        <w:t>La literatura respalda esta idea, indicando que los hospitales con tecnologías más avanzadas y personal calificado tienden a ofrecer una atención de mayor calidad (</w:t>
      </w:r>
      <w:proofErr w:type="spellStart"/>
      <w:r w:rsidRPr="003E1290">
        <w:rPr>
          <w:rFonts w:asciiTheme="minorHAnsi" w:hAnsiTheme="minorHAnsi" w:cstheme="minorHAnsi"/>
          <w:sz w:val="22"/>
        </w:rPr>
        <w:t>Arah</w:t>
      </w:r>
      <w:proofErr w:type="spellEnd"/>
      <w:r w:rsidRPr="003E1290">
        <w:rPr>
          <w:rFonts w:asciiTheme="minorHAnsi" w:hAnsiTheme="minorHAnsi" w:cstheme="minorHAnsi"/>
          <w:sz w:val="22"/>
        </w:rPr>
        <w:t xml:space="preserve"> et al., 2006). Además, la capacitación del personal y el ambiente físico pueden afectar negativamente la experiencia del paciente y los resultados clínicos (Baker et al., 2006). Por lo tanto, la evaluación de estructuras es crucial para garantizar un entorno que favorezca una atención de calidad.</w:t>
      </w:r>
    </w:p>
    <w:p w14:paraId="1C85ABAB" w14:textId="77777777" w:rsidR="00295001" w:rsidRPr="003E1290" w:rsidRDefault="00295001" w:rsidP="0053144E">
      <w:pPr>
        <w:rPr>
          <w:rFonts w:asciiTheme="minorHAnsi" w:hAnsiTheme="minorHAnsi" w:cstheme="minorHAnsi"/>
          <w:sz w:val="22"/>
        </w:rPr>
      </w:pPr>
    </w:p>
    <w:p w14:paraId="2A17B6A8" w14:textId="43C8DF03" w:rsidR="00295001" w:rsidRPr="003E1290" w:rsidRDefault="006A0965" w:rsidP="0053144E">
      <w:pPr>
        <w:pStyle w:val="Ttulo3"/>
        <w:rPr>
          <w:rFonts w:asciiTheme="minorHAnsi" w:hAnsiTheme="minorHAnsi" w:cstheme="minorHAnsi"/>
          <w:sz w:val="22"/>
          <w:szCs w:val="22"/>
        </w:rPr>
      </w:pPr>
      <w:r w:rsidRPr="003E1290">
        <w:rPr>
          <w:rFonts w:asciiTheme="minorHAnsi" w:hAnsiTheme="minorHAnsi" w:cstheme="minorHAnsi"/>
          <w:sz w:val="22"/>
          <w:szCs w:val="22"/>
        </w:rPr>
        <w:t>Indicadores de Proceso</w:t>
      </w:r>
      <w:r w:rsidR="002836B0" w:rsidRPr="003E1290">
        <w:rPr>
          <w:rFonts w:asciiTheme="minorHAnsi" w:hAnsiTheme="minorHAnsi" w:cstheme="minorHAnsi"/>
          <w:sz w:val="22"/>
          <w:szCs w:val="22"/>
        </w:rPr>
        <w:t>s</w:t>
      </w:r>
    </w:p>
    <w:p w14:paraId="45A6942D" w14:textId="77777777" w:rsidR="00817E0D" w:rsidRPr="003E1290" w:rsidRDefault="00817E0D" w:rsidP="0053144E">
      <w:pPr>
        <w:rPr>
          <w:rFonts w:asciiTheme="minorHAnsi" w:hAnsiTheme="minorHAnsi" w:cstheme="minorHAnsi"/>
          <w:sz w:val="22"/>
        </w:rPr>
      </w:pPr>
      <w:r w:rsidRPr="003E1290">
        <w:rPr>
          <w:rFonts w:asciiTheme="minorHAnsi" w:hAnsiTheme="minorHAnsi" w:cstheme="minorHAnsi"/>
          <w:sz w:val="22"/>
        </w:rPr>
        <w:t xml:space="preserve">El segundo componente del modelo de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xml:space="preserve"> son los procesos, que se refieren a las acciones llevadas a cabo en el proceso de atención médica. Esto incluye la interacción entre el paciente y los proveedores de salud, así como las intervenciones realizadas durante la atención. La calidad de los procesos puede medirse a través de la adherencia a guías clínicas, la eficacia de los tratamientos y la comunicación entre los profesionales de la salud y los pacientes.</w:t>
      </w:r>
    </w:p>
    <w:p w14:paraId="1BE6D69E" w14:textId="4FBE6E55" w:rsidR="00CA5475" w:rsidRPr="003E1290" w:rsidRDefault="00817E0D" w:rsidP="0053144E">
      <w:pPr>
        <w:rPr>
          <w:rFonts w:asciiTheme="minorHAnsi" w:hAnsiTheme="minorHAnsi" w:cstheme="minorHAnsi"/>
          <w:sz w:val="22"/>
        </w:rPr>
      </w:pPr>
      <w:r w:rsidRPr="003E1290">
        <w:rPr>
          <w:rFonts w:asciiTheme="minorHAnsi" w:hAnsiTheme="minorHAnsi" w:cstheme="minorHAnsi"/>
          <w:sz w:val="22"/>
        </w:rPr>
        <w:lastRenderedPageBreak/>
        <w:t>Investigaciones han demostrado que una mejor comunicación y mayor coordinación entre el equipo de atención médica se asocia con mejores resultados en salud (</w:t>
      </w:r>
      <w:proofErr w:type="spellStart"/>
      <w:r w:rsidRPr="003E1290">
        <w:rPr>
          <w:rFonts w:asciiTheme="minorHAnsi" w:hAnsiTheme="minorHAnsi" w:cstheme="minorHAnsi"/>
          <w:sz w:val="22"/>
        </w:rPr>
        <w:t>McKee</w:t>
      </w:r>
      <w:proofErr w:type="spellEnd"/>
      <w:r w:rsidRPr="003E1290">
        <w:rPr>
          <w:rFonts w:asciiTheme="minorHAnsi" w:hAnsiTheme="minorHAnsi" w:cstheme="minorHAnsi"/>
          <w:sz w:val="22"/>
        </w:rPr>
        <w:t xml:space="preserve"> et al., 2004). Asimismo, el uso de protocolos estandarizados en el manejo de enfermedades crónicas ha mostrado mejorar la calidad y la eficiencia de la atención (</w:t>
      </w:r>
      <w:proofErr w:type="spellStart"/>
      <w:r w:rsidRPr="003E1290">
        <w:rPr>
          <w:rFonts w:asciiTheme="minorHAnsi" w:hAnsiTheme="minorHAnsi" w:cstheme="minorHAnsi"/>
          <w:sz w:val="22"/>
        </w:rPr>
        <w:t>Grol</w:t>
      </w:r>
      <w:proofErr w:type="spellEnd"/>
      <w:r w:rsidRPr="003E1290">
        <w:rPr>
          <w:rFonts w:asciiTheme="minorHAnsi" w:hAnsiTheme="minorHAnsi" w:cstheme="minorHAnsi"/>
          <w:sz w:val="22"/>
        </w:rPr>
        <w:t xml:space="preserve"> et al., 2007). Por lo tanto, el análisis de los procesos es esencial para identificar áreas de mejora en la atención médica.</w:t>
      </w:r>
      <w:r w:rsidR="00CA5475" w:rsidRPr="003E1290">
        <w:rPr>
          <w:rFonts w:asciiTheme="minorHAnsi" w:hAnsiTheme="minorHAnsi" w:cstheme="minorHAnsi"/>
          <w:sz w:val="22"/>
        </w:rPr>
        <w:t xml:space="preserve"> </w:t>
      </w:r>
      <w:r w:rsidR="004C62FF" w:rsidRPr="003E1290">
        <w:rPr>
          <w:rFonts w:asciiTheme="minorHAnsi" w:hAnsiTheme="minorHAnsi" w:cstheme="minorHAnsi"/>
          <w:sz w:val="22"/>
        </w:rPr>
        <w:t>En definitiva</w:t>
      </w:r>
      <w:r w:rsidR="00CA5475" w:rsidRPr="003E1290">
        <w:rPr>
          <w:rFonts w:asciiTheme="minorHAnsi" w:hAnsiTheme="minorHAnsi" w:cstheme="minorHAnsi"/>
          <w:sz w:val="22"/>
        </w:rPr>
        <w:t>,</w:t>
      </w:r>
      <w:r w:rsidR="004C62FF" w:rsidRPr="003E1290">
        <w:rPr>
          <w:rFonts w:asciiTheme="minorHAnsi" w:hAnsiTheme="minorHAnsi" w:cstheme="minorHAnsi"/>
          <w:sz w:val="22"/>
        </w:rPr>
        <w:t xml:space="preserve"> l</w:t>
      </w:r>
      <w:r w:rsidR="00295001" w:rsidRPr="003E1290">
        <w:rPr>
          <w:rFonts w:asciiTheme="minorHAnsi" w:hAnsiTheme="minorHAnsi" w:cstheme="minorHAnsi"/>
          <w:sz w:val="22"/>
        </w:rPr>
        <w:t xml:space="preserve">os indicadores de </w:t>
      </w:r>
      <w:r w:rsidR="004C62FF" w:rsidRPr="003E1290">
        <w:rPr>
          <w:rFonts w:asciiTheme="minorHAnsi" w:hAnsiTheme="minorHAnsi" w:cstheme="minorHAnsi"/>
          <w:sz w:val="22"/>
        </w:rPr>
        <w:t xml:space="preserve">proceso </w:t>
      </w:r>
      <w:r w:rsidR="00295001" w:rsidRPr="003E1290">
        <w:rPr>
          <w:rFonts w:asciiTheme="minorHAnsi" w:hAnsiTheme="minorHAnsi" w:cstheme="minorHAnsi"/>
          <w:sz w:val="22"/>
        </w:rPr>
        <w:t xml:space="preserve">se centran en cómo se lleva a cabo la atención. </w:t>
      </w:r>
    </w:p>
    <w:p w14:paraId="43B7A9FF" w14:textId="7B71324D" w:rsidR="004C62FF" w:rsidRPr="003E1290" w:rsidRDefault="004C62FF" w:rsidP="0053144E">
      <w:pPr>
        <w:rPr>
          <w:rFonts w:asciiTheme="minorHAnsi" w:hAnsiTheme="minorHAnsi" w:cstheme="minorHAnsi"/>
          <w:sz w:val="22"/>
        </w:rPr>
      </w:pPr>
    </w:p>
    <w:p w14:paraId="7AEBC474" w14:textId="25498909" w:rsidR="002836B0" w:rsidRPr="003E1290" w:rsidRDefault="002836B0" w:rsidP="0053144E">
      <w:pPr>
        <w:pStyle w:val="Ttulo3"/>
        <w:rPr>
          <w:rFonts w:asciiTheme="minorHAnsi" w:hAnsiTheme="minorHAnsi" w:cstheme="minorHAnsi"/>
          <w:sz w:val="22"/>
          <w:szCs w:val="22"/>
        </w:rPr>
      </w:pPr>
      <w:r w:rsidRPr="003E1290">
        <w:rPr>
          <w:rFonts w:asciiTheme="minorHAnsi" w:hAnsiTheme="minorHAnsi" w:cstheme="minorHAnsi"/>
          <w:sz w:val="22"/>
          <w:szCs w:val="22"/>
        </w:rPr>
        <w:t>Indicadores de Resultados</w:t>
      </w:r>
    </w:p>
    <w:p w14:paraId="3930A66B" w14:textId="64CAD5DF" w:rsidR="00817E0D" w:rsidRPr="003E1290" w:rsidRDefault="00817E0D" w:rsidP="0053144E">
      <w:pPr>
        <w:rPr>
          <w:rFonts w:asciiTheme="minorHAnsi" w:hAnsiTheme="minorHAnsi" w:cstheme="minorHAnsi"/>
          <w:sz w:val="22"/>
        </w:rPr>
      </w:pPr>
      <w:r w:rsidRPr="003E1290">
        <w:rPr>
          <w:rFonts w:asciiTheme="minorHAnsi" w:hAnsiTheme="minorHAnsi" w:cstheme="minorHAnsi"/>
          <w:sz w:val="22"/>
        </w:rPr>
        <w:t>El tercer componente del modelo se refiere a los resultados de la atención médica, que incluyen el estado de salud de los pacientes, la satisfacción del paciente y los eventos adversos. Los resultados son el reflejo final de la calidad de la atención y son utilizados para medir el impact</w:t>
      </w:r>
      <w:r w:rsidR="001B7756" w:rsidRPr="003E1290">
        <w:rPr>
          <w:rFonts w:asciiTheme="minorHAnsi" w:hAnsiTheme="minorHAnsi" w:cstheme="minorHAnsi"/>
          <w:sz w:val="22"/>
        </w:rPr>
        <w:t>o de las intervenciones médicas, en otras palabras miden los efectos finales de la atención en la salud de los pacientes.</w:t>
      </w:r>
    </w:p>
    <w:p w14:paraId="6B489866" w14:textId="77777777" w:rsidR="00817E0D" w:rsidRPr="003E1290" w:rsidRDefault="00817E0D" w:rsidP="0053144E">
      <w:pPr>
        <w:rPr>
          <w:rFonts w:asciiTheme="minorHAnsi" w:hAnsiTheme="minorHAnsi" w:cstheme="minorHAnsi"/>
          <w:sz w:val="22"/>
        </w:rPr>
      </w:pPr>
      <w:r w:rsidRPr="003E1290">
        <w:rPr>
          <w:rFonts w:asciiTheme="minorHAnsi" w:hAnsiTheme="minorHAnsi" w:cstheme="minorHAnsi"/>
          <w:sz w:val="22"/>
        </w:rPr>
        <w:t>La medición de los resultados es crucial para los sistemas de salud, ya que ofrece información sobre la efectividad de la atención proporcionada. Según la Organización Mundial de la Salud (OMS), los indicadores de salud poblacional, como la mortalidad y la morbilidad, son esenciales para evaluar el desempeño de los sistemas de salud (OMS, 2015). Además, la satisfacción del paciente es un indicador importante de la calidad de la atención, y su medición puede ayudar a guiar las mejoras en los servicios de salud (</w:t>
      </w:r>
      <w:proofErr w:type="spellStart"/>
      <w:r w:rsidRPr="003E1290">
        <w:rPr>
          <w:rFonts w:asciiTheme="minorHAnsi" w:hAnsiTheme="minorHAnsi" w:cstheme="minorHAnsi"/>
          <w:sz w:val="22"/>
        </w:rPr>
        <w:t>Tzeng</w:t>
      </w:r>
      <w:proofErr w:type="spellEnd"/>
      <w:r w:rsidRPr="003E1290">
        <w:rPr>
          <w:rFonts w:asciiTheme="minorHAnsi" w:hAnsiTheme="minorHAnsi" w:cstheme="minorHAnsi"/>
          <w:sz w:val="22"/>
        </w:rPr>
        <w:t xml:space="preserve"> et al., 2010).</w:t>
      </w:r>
    </w:p>
    <w:p w14:paraId="7DB8CDB5" w14:textId="77777777" w:rsidR="001B7756" w:rsidRPr="003E1290" w:rsidRDefault="001B7756" w:rsidP="0053144E">
      <w:pPr>
        <w:rPr>
          <w:rFonts w:asciiTheme="minorHAnsi" w:hAnsiTheme="minorHAnsi" w:cstheme="minorHAnsi"/>
          <w:sz w:val="22"/>
        </w:rPr>
      </w:pPr>
    </w:p>
    <w:p w14:paraId="47EC8395" w14:textId="1C3CDBF6" w:rsidR="001B7756" w:rsidRPr="003E1290" w:rsidRDefault="001B7756" w:rsidP="0053144E">
      <w:pPr>
        <w:pStyle w:val="Ttulo3"/>
        <w:rPr>
          <w:rFonts w:asciiTheme="minorHAnsi" w:hAnsiTheme="minorHAnsi" w:cstheme="minorHAnsi"/>
          <w:sz w:val="22"/>
          <w:szCs w:val="22"/>
        </w:rPr>
      </w:pPr>
      <w:r w:rsidRPr="003E1290">
        <w:rPr>
          <w:rFonts w:asciiTheme="minorHAnsi" w:hAnsiTheme="minorHAnsi" w:cstheme="minorHAnsi"/>
          <w:sz w:val="22"/>
          <w:szCs w:val="22"/>
        </w:rPr>
        <w:t>Interconexión entre los indicadores de Estructura, Procesos y Resultados</w:t>
      </w:r>
    </w:p>
    <w:p w14:paraId="7D74CF5C" w14:textId="77777777" w:rsidR="00817E0D" w:rsidRPr="003E1290" w:rsidRDefault="00817E0D" w:rsidP="0053144E">
      <w:pPr>
        <w:rPr>
          <w:rFonts w:asciiTheme="minorHAnsi" w:hAnsiTheme="minorHAnsi" w:cstheme="minorHAnsi"/>
          <w:sz w:val="22"/>
        </w:rPr>
      </w:pPr>
      <w:r w:rsidRPr="003E1290">
        <w:rPr>
          <w:rFonts w:asciiTheme="minorHAnsi" w:hAnsiTheme="minorHAnsi" w:cstheme="minorHAnsi"/>
          <w:sz w:val="22"/>
        </w:rPr>
        <w:t xml:space="preserve">Es importante destacar que los componentes del modelo de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xml:space="preserve"> no funcionan de manera aislada; más bien, están interconectados. Por ejemplo, una estructura inadecuada puede llevar a procesos deficientes, lo que a su vez puede resultar en malos resultados. La evaluación de la calidad de la atención médica, por lo tanto, debe considerar la relación entre estos componentes para proporcionar una imagen completa del desempeño del sistema de salud.</w:t>
      </w:r>
    </w:p>
    <w:p w14:paraId="0543FC67" w14:textId="77777777" w:rsidR="00817E0D" w:rsidRPr="003E1290" w:rsidRDefault="00817E0D" w:rsidP="0053144E">
      <w:pPr>
        <w:rPr>
          <w:rFonts w:asciiTheme="minorHAnsi" w:hAnsiTheme="minorHAnsi" w:cstheme="minorHAnsi"/>
          <w:sz w:val="22"/>
        </w:rPr>
      </w:pPr>
    </w:p>
    <w:p w14:paraId="3BD93A1E" w14:textId="50E6DFB8" w:rsidR="00817E0D" w:rsidRPr="003E1290" w:rsidRDefault="00686311" w:rsidP="0053144E">
      <w:pPr>
        <w:rPr>
          <w:rFonts w:asciiTheme="minorHAnsi" w:hAnsiTheme="minorHAnsi" w:cstheme="minorHAnsi"/>
          <w:sz w:val="22"/>
        </w:rPr>
      </w:pPr>
      <w:r w:rsidRPr="003E1290">
        <w:rPr>
          <w:rFonts w:asciiTheme="minorHAnsi" w:hAnsiTheme="minorHAnsi" w:cstheme="minorHAnsi"/>
          <w:sz w:val="22"/>
        </w:rPr>
        <w:t>E</w:t>
      </w:r>
      <w:r w:rsidR="00817E0D" w:rsidRPr="003E1290">
        <w:rPr>
          <w:rFonts w:asciiTheme="minorHAnsi" w:hAnsiTheme="minorHAnsi" w:cstheme="minorHAnsi"/>
          <w:sz w:val="22"/>
        </w:rPr>
        <w:t xml:space="preserve">l modelo de </w:t>
      </w:r>
      <w:proofErr w:type="spellStart"/>
      <w:r w:rsidR="00817E0D" w:rsidRPr="003E1290">
        <w:rPr>
          <w:rFonts w:asciiTheme="minorHAnsi" w:hAnsiTheme="minorHAnsi" w:cstheme="minorHAnsi"/>
          <w:sz w:val="22"/>
        </w:rPr>
        <w:t>Avedis</w:t>
      </w:r>
      <w:proofErr w:type="spellEnd"/>
      <w:r w:rsidR="00817E0D" w:rsidRPr="003E1290">
        <w:rPr>
          <w:rFonts w:asciiTheme="minorHAnsi" w:hAnsiTheme="minorHAnsi" w:cstheme="minorHAnsi"/>
          <w:sz w:val="22"/>
        </w:rPr>
        <w:t xml:space="preserve"> </w:t>
      </w:r>
      <w:proofErr w:type="spellStart"/>
      <w:r w:rsidR="00817E0D" w:rsidRPr="003E1290">
        <w:rPr>
          <w:rFonts w:asciiTheme="minorHAnsi" w:hAnsiTheme="minorHAnsi" w:cstheme="minorHAnsi"/>
          <w:sz w:val="22"/>
        </w:rPr>
        <w:t>Donabedian</w:t>
      </w:r>
      <w:proofErr w:type="spellEnd"/>
      <w:r w:rsidR="00817E0D" w:rsidRPr="003E1290">
        <w:rPr>
          <w:rFonts w:asciiTheme="minorHAnsi" w:hAnsiTheme="minorHAnsi" w:cstheme="minorHAnsi"/>
          <w:sz w:val="22"/>
        </w:rPr>
        <w:t xml:space="preserve"> sigue siendo una herramienta valiosa para evaluar la calidad de la atención médica, proporcionando un marco comprensible que abarca las dimensiones críticas de estructura, proceso y resultado. Los estudios que utilizan este modelo han demostrado que mejorar las estructuras y procesos puede tener un impacto significativo en los resultados de salud de los pacientes. En un contexto de atención médica en constante evolución, este modelo seguirá siendo relevante para guiar las iniciativas de calidad y garantizar la atención centrada en el paciente.</w:t>
      </w:r>
    </w:p>
    <w:p w14:paraId="7146665E" w14:textId="77777777" w:rsidR="00D30E97" w:rsidRPr="003E1290" w:rsidRDefault="00D30E97" w:rsidP="0053144E">
      <w:pPr>
        <w:rPr>
          <w:rFonts w:asciiTheme="minorHAnsi" w:hAnsiTheme="minorHAnsi" w:cstheme="minorHAnsi"/>
          <w:sz w:val="22"/>
        </w:rPr>
      </w:pPr>
    </w:p>
    <w:p w14:paraId="68E97D61" w14:textId="2629EFFD" w:rsidR="00F15C48" w:rsidRPr="003E1290" w:rsidRDefault="00967B25"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t>Metodología</w:t>
      </w:r>
    </w:p>
    <w:p w14:paraId="1CE1F01B" w14:textId="293E583F" w:rsidR="002D45FA" w:rsidRPr="003E1290" w:rsidRDefault="002D45FA" w:rsidP="0053144E">
      <w:pPr>
        <w:pStyle w:val="Ttulo2"/>
        <w:rPr>
          <w:rFonts w:asciiTheme="minorHAnsi" w:hAnsiTheme="minorHAnsi" w:cstheme="minorHAnsi"/>
          <w:sz w:val="22"/>
          <w:szCs w:val="22"/>
        </w:rPr>
      </w:pPr>
      <w:r w:rsidRPr="003E1290">
        <w:rPr>
          <w:rFonts w:asciiTheme="minorHAnsi" w:hAnsiTheme="minorHAnsi" w:cstheme="minorHAnsi"/>
          <w:sz w:val="22"/>
          <w:szCs w:val="22"/>
        </w:rPr>
        <w:t>Área de estudio</w:t>
      </w:r>
    </w:p>
    <w:p w14:paraId="293B9BD8" w14:textId="62A11AB3" w:rsidR="00FA6AD2" w:rsidRPr="003E1290" w:rsidRDefault="00CF480B" w:rsidP="0053144E">
      <w:pPr>
        <w:rPr>
          <w:rFonts w:asciiTheme="minorHAnsi" w:hAnsiTheme="minorHAnsi" w:cstheme="minorHAnsi"/>
          <w:sz w:val="22"/>
        </w:rPr>
      </w:pPr>
      <w:r w:rsidRPr="003E1290">
        <w:rPr>
          <w:rFonts w:asciiTheme="minorHAnsi" w:hAnsiTheme="minorHAnsi" w:cstheme="minorHAnsi"/>
          <w:sz w:val="22"/>
        </w:rPr>
        <w:t>El estudio será aplicado al á</w:t>
      </w:r>
      <w:r w:rsidR="00391D7E" w:rsidRPr="003E1290">
        <w:rPr>
          <w:rFonts w:asciiTheme="minorHAnsi" w:hAnsiTheme="minorHAnsi" w:cstheme="minorHAnsi"/>
          <w:sz w:val="22"/>
        </w:rPr>
        <w:t>rea de emergencia del Hospital General de Norte de Guayaquil, Los Ceibos.</w:t>
      </w:r>
    </w:p>
    <w:p w14:paraId="51D49F21" w14:textId="77777777" w:rsidR="00BE692A" w:rsidRPr="003E1290" w:rsidRDefault="00BE692A" w:rsidP="0053144E">
      <w:pPr>
        <w:rPr>
          <w:rFonts w:asciiTheme="minorHAnsi" w:hAnsiTheme="minorHAnsi" w:cstheme="minorHAnsi"/>
          <w:sz w:val="22"/>
        </w:rPr>
      </w:pPr>
    </w:p>
    <w:p w14:paraId="75177712" w14:textId="3E5C3902" w:rsidR="00BE692A" w:rsidRPr="003E1290" w:rsidRDefault="00BE692A" w:rsidP="0053144E">
      <w:pPr>
        <w:rPr>
          <w:rFonts w:asciiTheme="minorHAnsi" w:hAnsiTheme="minorHAnsi" w:cstheme="minorHAnsi"/>
          <w:sz w:val="22"/>
        </w:rPr>
      </w:pPr>
      <w:r w:rsidRPr="003E1290">
        <w:rPr>
          <w:rFonts w:asciiTheme="minorHAnsi" w:hAnsiTheme="minorHAnsi" w:cstheme="minorHAnsi"/>
          <w:noProof/>
          <w:sz w:val="22"/>
          <w:lang w:eastAsia="es-EC"/>
        </w:rPr>
        <w:lastRenderedPageBreak/>
        <w:drawing>
          <wp:inline distT="0" distB="0" distL="0" distR="0" wp14:anchorId="313034AE" wp14:editId="2DD837EB">
            <wp:extent cx="5010150" cy="2798527"/>
            <wp:effectExtent l="0" t="0" r="0" b="1905"/>
            <wp:docPr id="1" name="Imagen 1" descr="Corrupción y falta de medicinas, los males del Hospital Los Ceibos - El  Co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upción y falta de medicinas, los males del Hospital Los Ceibos - El  Comerc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9561" cy="2798198"/>
                    </a:xfrm>
                    <a:prstGeom prst="rect">
                      <a:avLst/>
                    </a:prstGeom>
                    <a:noFill/>
                    <a:ln>
                      <a:noFill/>
                    </a:ln>
                  </pic:spPr>
                </pic:pic>
              </a:graphicData>
            </a:graphic>
          </wp:inline>
        </w:drawing>
      </w:r>
    </w:p>
    <w:p w14:paraId="66BD435A" w14:textId="3E207E04" w:rsidR="00E1043B" w:rsidRPr="003E1290" w:rsidRDefault="00C16E26" w:rsidP="0053144E">
      <w:pPr>
        <w:pStyle w:val="Ttulo2"/>
        <w:rPr>
          <w:rFonts w:asciiTheme="minorHAnsi" w:hAnsiTheme="minorHAnsi" w:cstheme="minorHAnsi"/>
          <w:sz w:val="22"/>
          <w:szCs w:val="22"/>
        </w:rPr>
      </w:pPr>
      <w:r w:rsidRPr="003E1290">
        <w:rPr>
          <w:rFonts w:asciiTheme="minorHAnsi" w:hAnsiTheme="minorHAnsi" w:cstheme="minorHAnsi"/>
          <w:sz w:val="22"/>
          <w:szCs w:val="22"/>
        </w:rPr>
        <w:t>Fuente</w:t>
      </w:r>
      <w:r w:rsidR="00D36E0C" w:rsidRPr="003E1290">
        <w:rPr>
          <w:rFonts w:asciiTheme="minorHAnsi" w:hAnsiTheme="minorHAnsi" w:cstheme="minorHAnsi"/>
          <w:sz w:val="22"/>
          <w:szCs w:val="22"/>
        </w:rPr>
        <w:t xml:space="preserve"> de los datos</w:t>
      </w:r>
    </w:p>
    <w:p w14:paraId="2BC26560" w14:textId="2176D1A6" w:rsidR="001A4824" w:rsidRPr="003E1290" w:rsidRDefault="00A72154" w:rsidP="0053144E">
      <w:pPr>
        <w:rPr>
          <w:rFonts w:asciiTheme="minorHAnsi" w:hAnsiTheme="minorHAnsi" w:cstheme="minorHAnsi"/>
          <w:sz w:val="22"/>
        </w:rPr>
      </w:pPr>
      <w:r w:rsidRPr="003E1290">
        <w:rPr>
          <w:rFonts w:asciiTheme="minorHAnsi" w:hAnsiTheme="minorHAnsi" w:cstheme="minorHAnsi"/>
          <w:sz w:val="22"/>
        </w:rPr>
        <w:t>Los datos fueron</w:t>
      </w:r>
      <w:r w:rsidR="00CF480B" w:rsidRPr="003E1290">
        <w:rPr>
          <w:rFonts w:asciiTheme="minorHAnsi" w:hAnsiTheme="minorHAnsi" w:cstheme="minorHAnsi"/>
          <w:sz w:val="22"/>
        </w:rPr>
        <w:t xml:space="preserve"> </w:t>
      </w:r>
      <w:r w:rsidR="00E02623" w:rsidRPr="003E1290">
        <w:rPr>
          <w:rFonts w:asciiTheme="minorHAnsi" w:hAnsiTheme="minorHAnsi" w:cstheme="minorHAnsi"/>
          <w:sz w:val="22"/>
        </w:rPr>
        <w:t xml:space="preserve">obtenidos </w:t>
      </w:r>
      <w:r w:rsidR="0087098B" w:rsidRPr="003E1290">
        <w:rPr>
          <w:rFonts w:asciiTheme="minorHAnsi" w:hAnsiTheme="minorHAnsi" w:cstheme="minorHAnsi"/>
          <w:sz w:val="22"/>
        </w:rPr>
        <w:t xml:space="preserve">del </w:t>
      </w:r>
      <w:r w:rsidR="00E02623" w:rsidRPr="003E1290">
        <w:rPr>
          <w:rFonts w:asciiTheme="minorHAnsi" w:hAnsiTheme="minorHAnsi" w:cstheme="minorHAnsi"/>
          <w:sz w:val="22"/>
        </w:rPr>
        <w:t xml:space="preserve">área de Coordinación de Enfermería del </w:t>
      </w:r>
      <w:r w:rsidR="0087098B" w:rsidRPr="003E1290">
        <w:rPr>
          <w:rFonts w:asciiTheme="minorHAnsi" w:hAnsiTheme="minorHAnsi" w:cstheme="minorHAnsi"/>
          <w:sz w:val="22"/>
        </w:rPr>
        <w:t>Hospital General de Norte de Guayaquil, Los Ceibos.</w:t>
      </w:r>
    </w:p>
    <w:p w14:paraId="10DCCF22" w14:textId="61E660A3" w:rsidR="00E02623" w:rsidRPr="003E1290" w:rsidRDefault="00E02623" w:rsidP="00E02623">
      <w:pPr>
        <w:pStyle w:val="Ttulo2"/>
        <w:rPr>
          <w:rFonts w:asciiTheme="minorHAnsi" w:hAnsiTheme="minorHAnsi" w:cstheme="minorHAnsi"/>
          <w:sz w:val="22"/>
          <w:szCs w:val="22"/>
        </w:rPr>
      </w:pPr>
      <w:r w:rsidRPr="003E1290">
        <w:rPr>
          <w:rFonts w:asciiTheme="minorHAnsi" w:hAnsiTheme="minorHAnsi" w:cstheme="minorHAnsi"/>
          <w:sz w:val="22"/>
          <w:szCs w:val="22"/>
        </w:rPr>
        <w:t>Indicadores</w:t>
      </w:r>
    </w:p>
    <w:p w14:paraId="7A75A5CC" w14:textId="77777777" w:rsidR="00932741" w:rsidRPr="003E1290" w:rsidRDefault="00932741" w:rsidP="0053144E">
      <w:pPr>
        <w:rPr>
          <w:rFonts w:asciiTheme="minorHAnsi" w:hAnsiTheme="minorHAnsi" w:cstheme="minorHAnsi"/>
          <w:sz w:val="22"/>
        </w:rPr>
      </w:pPr>
      <w:r w:rsidRPr="003E1290">
        <w:rPr>
          <w:rFonts w:asciiTheme="minorHAnsi" w:hAnsiTheme="minorHAnsi" w:cstheme="minorHAnsi"/>
          <w:sz w:val="22"/>
        </w:rPr>
        <w:t>Para la implementación del modelo en el área de emergencia, se estableció un sistema de monitoreo continuo que incluye la recolección sistemática de datos, el análisis periódico de indicadores y la retroalimentación constante para la mejora de la calidad. La metodología incorpora tanto mediciones cuantitativas como evaluaciones cualitativas, permitiendo una comprensión integral del desempeño del servicio.</w:t>
      </w:r>
    </w:p>
    <w:p w14:paraId="4944EAA3" w14:textId="77777777" w:rsidR="00FF5F78" w:rsidRPr="003E1290" w:rsidRDefault="00FF5F78" w:rsidP="0053144E">
      <w:pPr>
        <w:rPr>
          <w:rFonts w:asciiTheme="minorHAnsi" w:hAnsiTheme="minorHAnsi" w:cstheme="minorHAnsi"/>
          <w:sz w:val="22"/>
        </w:rPr>
      </w:pPr>
    </w:p>
    <w:p w14:paraId="1D61BD65" w14:textId="1CB03B92" w:rsidR="00967B61" w:rsidRPr="003E1290" w:rsidRDefault="008E3011" w:rsidP="0053144E">
      <w:pPr>
        <w:rPr>
          <w:rFonts w:asciiTheme="minorHAnsi" w:hAnsiTheme="minorHAnsi" w:cstheme="minorHAnsi"/>
          <w:sz w:val="22"/>
        </w:rPr>
      </w:pPr>
      <w:r w:rsidRPr="003E1290">
        <w:rPr>
          <w:rFonts w:asciiTheme="minorHAnsi" w:hAnsiTheme="minorHAnsi" w:cstheme="minorHAnsi"/>
          <w:sz w:val="22"/>
        </w:rPr>
        <w:t>La siguiente tabla resume los indicadores por tipo</w:t>
      </w:r>
      <w:r w:rsidR="00A176E7" w:rsidRPr="003E1290">
        <w:rPr>
          <w:rFonts w:asciiTheme="minorHAnsi" w:hAnsiTheme="minorHAnsi" w:cstheme="minorHAnsi"/>
          <w:sz w:val="22"/>
        </w:rPr>
        <w:t>:</w:t>
      </w:r>
    </w:p>
    <w:p w14:paraId="2D05216A" w14:textId="77777777" w:rsidR="008E3011" w:rsidRPr="003E1290" w:rsidRDefault="008E3011" w:rsidP="0053144E">
      <w:pPr>
        <w:rPr>
          <w:rFonts w:asciiTheme="minorHAnsi" w:hAnsiTheme="minorHAnsi" w:cstheme="minorHAnsi"/>
          <w:sz w:val="22"/>
        </w:rPr>
      </w:pPr>
    </w:p>
    <w:tbl>
      <w:tblPr>
        <w:tblStyle w:val="Tablaconcuadrcula"/>
        <w:tblW w:w="8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0"/>
        <w:gridCol w:w="1200"/>
      </w:tblGrid>
      <w:tr w:rsidR="001A4C25" w:rsidRPr="003E1290" w14:paraId="2B7C9121" w14:textId="77777777" w:rsidTr="00A176E7">
        <w:trPr>
          <w:trHeight w:val="300"/>
        </w:trPr>
        <w:tc>
          <w:tcPr>
            <w:tcW w:w="7280" w:type="dxa"/>
            <w:tcBorders>
              <w:top w:val="single" w:sz="12" w:space="0" w:color="auto"/>
              <w:bottom w:val="single" w:sz="12" w:space="0" w:color="auto"/>
            </w:tcBorders>
            <w:noWrap/>
            <w:hideMark/>
          </w:tcPr>
          <w:p w14:paraId="31C51D47" w14:textId="77777777" w:rsidR="008E3011" w:rsidRPr="003E1290" w:rsidRDefault="008E3011" w:rsidP="00A176E7">
            <w:pPr>
              <w:pStyle w:val="TableParagraph"/>
              <w:jc w:val="center"/>
              <w:rPr>
                <w:rStyle w:val="nfasis"/>
                <w:rFonts w:asciiTheme="minorHAnsi" w:hAnsiTheme="minorHAnsi" w:cstheme="minorHAnsi"/>
                <w:b/>
                <w:sz w:val="20"/>
                <w:lang w:val="es-EC"/>
              </w:rPr>
            </w:pPr>
            <w:r w:rsidRPr="003E1290">
              <w:rPr>
                <w:rStyle w:val="nfasis"/>
                <w:rFonts w:asciiTheme="minorHAnsi" w:hAnsiTheme="minorHAnsi" w:cstheme="minorHAnsi"/>
                <w:b/>
                <w:sz w:val="20"/>
                <w:lang w:val="es-EC"/>
              </w:rPr>
              <w:t>Indicador</w:t>
            </w:r>
          </w:p>
        </w:tc>
        <w:tc>
          <w:tcPr>
            <w:tcW w:w="1200" w:type="dxa"/>
            <w:tcBorders>
              <w:top w:val="single" w:sz="12" w:space="0" w:color="auto"/>
              <w:bottom w:val="single" w:sz="12" w:space="0" w:color="auto"/>
            </w:tcBorders>
            <w:noWrap/>
            <w:hideMark/>
          </w:tcPr>
          <w:p w14:paraId="7201007C" w14:textId="77777777" w:rsidR="008E3011" w:rsidRPr="003E1290" w:rsidRDefault="008E3011" w:rsidP="00A176E7">
            <w:pPr>
              <w:pStyle w:val="TableParagraph"/>
              <w:jc w:val="center"/>
              <w:rPr>
                <w:rStyle w:val="nfasis"/>
                <w:rFonts w:asciiTheme="minorHAnsi" w:hAnsiTheme="minorHAnsi" w:cstheme="minorHAnsi"/>
                <w:b/>
                <w:sz w:val="20"/>
                <w:lang w:val="es-EC"/>
              </w:rPr>
            </w:pPr>
            <w:r w:rsidRPr="003E1290">
              <w:rPr>
                <w:rStyle w:val="nfasis"/>
                <w:rFonts w:asciiTheme="minorHAnsi" w:hAnsiTheme="minorHAnsi" w:cstheme="minorHAnsi"/>
                <w:b/>
                <w:sz w:val="20"/>
                <w:lang w:val="es-EC"/>
              </w:rPr>
              <w:t>Tipo</w:t>
            </w:r>
          </w:p>
        </w:tc>
      </w:tr>
      <w:tr w:rsidR="001A4C25" w:rsidRPr="003E1290" w14:paraId="5290EAB2" w14:textId="77777777" w:rsidTr="00A176E7">
        <w:trPr>
          <w:trHeight w:val="300"/>
        </w:trPr>
        <w:tc>
          <w:tcPr>
            <w:tcW w:w="7280" w:type="dxa"/>
            <w:tcBorders>
              <w:top w:val="single" w:sz="12" w:space="0" w:color="auto"/>
            </w:tcBorders>
            <w:noWrap/>
            <w:hideMark/>
          </w:tcPr>
          <w:p w14:paraId="64D87108"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Conocimiento en bombas de infusión</w:t>
            </w:r>
          </w:p>
        </w:tc>
        <w:tc>
          <w:tcPr>
            <w:tcW w:w="1200" w:type="dxa"/>
            <w:tcBorders>
              <w:top w:val="single" w:sz="12" w:space="0" w:color="auto"/>
            </w:tcBorders>
            <w:noWrap/>
            <w:hideMark/>
          </w:tcPr>
          <w:p w14:paraId="5E753C23"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Estructura</w:t>
            </w:r>
          </w:p>
        </w:tc>
      </w:tr>
      <w:tr w:rsidR="001A4C25" w:rsidRPr="003E1290" w14:paraId="3D0C5300" w14:textId="77777777" w:rsidTr="00A176E7">
        <w:trPr>
          <w:trHeight w:val="300"/>
        </w:trPr>
        <w:tc>
          <w:tcPr>
            <w:tcW w:w="7280" w:type="dxa"/>
            <w:noWrap/>
            <w:hideMark/>
          </w:tcPr>
          <w:p w14:paraId="1C88A2A8"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Disponibilidad de medicamentos esenciales</w:t>
            </w:r>
          </w:p>
        </w:tc>
        <w:tc>
          <w:tcPr>
            <w:tcW w:w="1200" w:type="dxa"/>
            <w:noWrap/>
            <w:hideMark/>
          </w:tcPr>
          <w:p w14:paraId="40D4C167"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Estructura</w:t>
            </w:r>
          </w:p>
        </w:tc>
      </w:tr>
      <w:tr w:rsidR="001A4C25" w:rsidRPr="003E1290" w14:paraId="5D93BCFE" w14:textId="77777777" w:rsidTr="00A176E7">
        <w:trPr>
          <w:trHeight w:val="300"/>
        </w:trPr>
        <w:tc>
          <w:tcPr>
            <w:tcW w:w="7280" w:type="dxa"/>
            <w:noWrap/>
            <w:hideMark/>
          </w:tcPr>
          <w:p w14:paraId="666022BF"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Proporción de camas en el área de emergencia respecto al total hospitalario</w:t>
            </w:r>
          </w:p>
        </w:tc>
        <w:tc>
          <w:tcPr>
            <w:tcW w:w="1200" w:type="dxa"/>
            <w:noWrap/>
            <w:hideMark/>
          </w:tcPr>
          <w:p w14:paraId="1121ED27"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Estructura</w:t>
            </w:r>
          </w:p>
        </w:tc>
      </w:tr>
      <w:tr w:rsidR="001A4C25" w:rsidRPr="003E1290" w14:paraId="0C151E90" w14:textId="77777777" w:rsidTr="00A176E7">
        <w:trPr>
          <w:trHeight w:val="300"/>
        </w:trPr>
        <w:tc>
          <w:tcPr>
            <w:tcW w:w="7280" w:type="dxa"/>
            <w:noWrap/>
            <w:hideMark/>
          </w:tcPr>
          <w:p w14:paraId="366D8754"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Proporción de personal de enfermería especializado en emergencias</w:t>
            </w:r>
          </w:p>
        </w:tc>
        <w:tc>
          <w:tcPr>
            <w:tcW w:w="1200" w:type="dxa"/>
            <w:noWrap/>
            <w:hideMark/>
          </w:tcPr>
          <w:p w14:paraId="22ED7E5B"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Estructura</w:t>
            </w:r>
          </w:p>
        </w:tc>
      </w:tr>
      <w:tr w:rsidR="001A4C25" w:rsidRPr="003E1290" w14:paraId="5AD947C0" w14:textId="77777777" w:rsidTr="00A176E7">
        <w:trPr>
          <w:trHeight w:val="300"/>
        </w:trPr>
        <w:tc>
          <w:tcPr>
            <w:tcW w:w="7280" w:type="dxa"/>
            <w:noWrap/>
            <w:hideMark/>
          </w:tcPr>
          <w:p w14:paraId="214221F4"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 xml:space="preserve">Profilaxis de </w:t>
            </w:r>
            <w:proofErr w:type="spellStart"/>
            <w:r w:rsidRPr="003E1290">
              <w:rPr>
                <w:rStyle w:val="nfasis"/>
                <w:rFonts w:asciiTheme="minorHAnsi" w:hAnsiTheme="minorHAnsi" w:cstheme="minorHAnsi"/>
                <w:sz w:val="20"/>
                <w:lang w:val="es-EC"/>
              </w:rPr>
              <w:t>tromboembolismo</w:t>
            </w:r>
            <w:proofErr w:type="spellEnd"/>
            <w:r w:rsidRPr="003E1290">
              <w:rPr>
                <w:rStyle w:val="nfasis"/>
                <w:rFonts w:asciiTheme="minorHAnsi" w:hAnsiTheme="minorHAnsi" w:cstheme="minorHAnsi"/>
                <w:sz w:val="20"/>
                <w:lang w:val="es-EC"/>
              </w:rPr>
              <w:t xml:space="preserve"> venoso</w:t>
            </w:r>
          </w:p>
        </w:tc>
        <w:tc>
          <w:tcPr>
            <w:tcW w:w="1200" w:type="dxa"/>
            <w:noWrap/>
            <w:hideMark/>
          </w:tcPr>
          <w:p w14:paraId="011D447E"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7D273201" w14:textId="77777777" w:rsidTr="00A176E7">
        <w:trPr>
          <w:trHeight w:val="300"/>
        </w:trPr>
        <w:tc>
          <w:tcPr>
            <w:tcW w:w="7280" w:type="dxa"/>
            <w:noWrap/>
            <w:hideMark/>
          </w:tcPr>
          <w:p w14:paraId="5CA27082"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Valoración de riesgo de caídas</w:t>
            </w:r>
          </w:p>
        </w:tc>
        <w:tc>
          <w:tcPr>
            <w:tcW w:w="1200" w:type="dxa"/>
            <w:noWrap/>
            <w:hideMark/>
          </w:tcPr>
          <w:p w14:paraId="5EC315C6"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7D50E3DC" w14:textId="77777777" w:rsidTr="00A176E7">
        <w:trPr>
          <w:trHeight w:val="300"/>
        </w:trPr>
        <w:tc>
          <w:tcPr>
            <w:tcW w:w="7280" w:type="dxa"/>
            <w:noWrap/>
            <w:hideMark/>
          </w:tcPr>
          <w:p w14:paraId="63B651D6"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Valoración de úlceras por presión</w:t>
            </w:r>
          </w:p>
        </w:tc>
        <w:tc>
          <w:tcPr>
            <w:tcW w:w="1200" w:type="dxa"/>
            <w:noWrap/>
            <w:hideMark/>
          </w:tcPr>
          <w:p w14:paraId="646E7A26"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72AA5885" w14:textId="77777777" w:rsidTr="00A176E7">
        <w:trPr>
          <w:trHeight w:val="300"/>
        </w:trPr>
        <w:tc>
          <w:tcPr>
            <w:tcW w:w="7280" w:type="dxa"/>
            <w:noWrap/>
            <w:hideMark/>
          </w:tcPr>
          <w:p w14:paraId="234269E2"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Identificación correcta del paciente</w:t>
            </w:r>
          </w:p>
        </w:tc>
        <w:tc>
          <w:tcPr>
            <w:tcW w:w="1200" w:type="dxa"/>
            <w:noWrap/>
            <w:hideMark/>
          </w:tcPr>
          <w:p w14:paraId="45E4B96D"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2DE5C16B" w14:textId="77777777" w:rsidTr="00A176E7">
        <w:trPr>
          <w:trHeight w:val="300"/>
        </w:trPr>
        <w:tc>
          <w:tcPr>
            <w:tcW w:w="7280" w:type="dxa"/>
            <w:noWrap/>
            <w:hideMark/>
          </w:tcPr>
          <w:p w14:paraId="0C12E2ED"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Uso correcto de EPP</w:t>
            </w:r>
          </w:p>
        </w:tc>
        <w:tc>
          <w:tcPr>
            <w:tcW w:w="1200" w:type="dxa"/>
            <w:noWrap/>
            <w:hideMark/>
          </w:tcPr>
          <w:p w14:paraId="4B985445"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52FF55FE" w14:textId="77777777" w:rsidTr="00A176E7">
        <w:trPr>
          <w:trHeight w:val="300"/>
        </w:trPr>
        <w:tc>
          <w:tcPr>
            <w:tcW w:w="7280" w:type="dxa"/>
            <w:noWrap/>
            <w:hideMark/>
          </w:tcPr>
          <w:p w14:paraId="623A045B"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Higiene de manos</w:t>
            </w:r>
          </w:p>
        </w:tc>
        <w:tc>
          <w:tcPr>
            <w:tcW w:w="1200" w:type="dxa"/>
            <w:noWrap/>
            <w:hideMark/>
          </w:tcPr>
          <w:p w14:paraId="66C5F2C5"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714F8CB2" w14:textId="77777777" w:rsidTr="00A176E7">
        <w:trPr>
          <w:trHeight w:val="300"/>
        </w:trPr>
        <w:tc>
          <w:tcPr>
            <w:tcW w:w="7280" w:type="dxa"/>
            <w:noWrap/>
            <w:hideMark/>
          </w:tcPr>
          <w:p w14:paraId="2892D6BA"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Administración correcta de medicamentos</w:t>
            </w:r>
          </w:p>
        </w:tc>
        <w:tc>
          <w:tcPr>
            <w:tcW w:w="1200" w:type="dxa"/>
            <w:noWrap/>
            <w:hideMark/>
          </w:tcPr>
          <w:p w14:paraId="2444752A"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Proceso</w:t>
            </w:r>
          </w:p>
        </w:tc>
      </w:tr>
      <w:tr w:rsidR="001A4C25" w:rsidRPr="003E1290" w14:paraId="7B0EAD38" w14:textId="77777777" w:rsidTr="00A176E7">
        <w:trPr>
          <w:trHeight w:val="300"/>
        </w:trPr>
        <w:tc>
          <w:tcPr>
            <w:tcW w:w="7280" w:type="dxa"/>
            <w:noWrap/>
            <w:hideMark/>
          </w:tcPr>
          <w:p w14:paraId="13D56A99"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Porcentaje de satisfacción del Usuario</w:t>
            </w:r>
          </w:p>
        </w:tc>
        <w:tc>
          <w:tcPr>
            <w:tcW w:w="1200" w:type="dxa"/>
            <w:noWrap/>
            <w:hideMark/>
          </w:tcPr>
          <w:p w14:paraId="7D6732A4"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Resultado</w:t>
            </w:r>
          </w:p>
        </w:tc>
      </w:tr>
      <w:tr w:rsidR="001A4C25" w:rsidRPr="003E1290" w14:paraId="1141A76D" w14:textId="77777777" w:rsidTr="00A176E7">
        <w:trPr>
          <w:trHeight w:val="300"/>
        </w:trPr>
        <w:tc>
          <w:tcPr>
            <w:tcW w:w="7280" w:type="dxa"/>
            <w:tcBorders>
              <w:bottom w:val="single" w:sz="12" w:space="0" w:color="auto"/>
            </w:tcBorders>
            <w:noWrap/>
            <w:hideMark/>
          </w:tcPr>
          <w:p w14:paraId="7D18300E"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Porcentaje de cirugías que presentan infecciones</w:t>
            </w:r>
          </w:p>
        </w:tc>
        <w:tc>
          <w:tcPr>
            <w:tcW w:w="1200" w:type="dxa"/>
            <w:tcBorders>
              <w:bottom w:val="single" w:sz="12" w:space="0" w:color="auto"/>
            </w:tcBorders>
            <w:noWrap/>
            <w:hideMark/>
          </w:tcPr>
          <w:p w14:paraId="23F88CE3" w14:textId="77777777" w:rsidR="008E3011" w:rsidRPr="003E1290" w:rsidRDefault="008E3011" w:rsidP="0053144E">
            <w:pPr>
              <w:pStyle w:val="TableParagraph"/>
              <w:rPr>
                <w:rStyle w:val="nfasis"/>
                <w:rFonts w:asciiTheme="minorHAnsi" w:hAnsiTheme="minorHAnsi" w:cstheme="minorHAnsi"/>
                <w:sz w:val="20"/>
                <w:lang w:val="es-EC"/>
              </w:rPr>
            </w:pPr>
            <w:r w:rsidRPr="003E1290">
              <w:rPr>
                <w:rStyle w:val="nfasis"/>
                <w:rFonts w:asciiTheme="minorHAnsi" w:hAnsiTheme="minorHAnsi" w:cstheme="minorHAnsi"/>
                <w:sz w:val="20"/>
                <w:lang w:val="es-EC"/>
              </w:rPr>
              <w:t>Resultado</w:t>
            </w:r>
          </w:p>
        </w:tc>
      </w:tr>
    </w:tbl>
    <w:p w14:paraId="75DFAAA7" w14:textId="77777777" w:rsidR="008E3011" w:rsidRPr="003E1290" w:rsidRDefault="008E3011" w:rsidP="0053144E">
      <w:pPr>
        <w:rPr>
          <w:rFonts w:asciiTheme="minorHAnsi" w:hAnsiTheme="minorHAnsi" w:cstheme="minorHAnsi"/>
          <w:sz w:val="22"/>
        </w:rPr>
      </w:pPr>
    </w:p>
    <w:p w14:paraId="78B04F4B" w14:textId="77777777" w:rsidR="00A176E7" w:rsidRPr="003E1290" w:rsidRDefault="00A176E7" w:rsidP="0053144E">
      <w:pPr>
        <w:rPr>
          <w:rFonts w:asciiTheme="minorHAnsi" w:hAnsiTheme="minorHAnsi" w:cstheme="minorHAnsi"/>
          <w:sz w:val="22"/>
        </w:rPr>
      </w:pPr>
    </w:p>
    <w:p w14:paraId="07878C78" w14:textId="77777777" w:rsidR="00A176E7" w:rsidRPr="003E1290" w:rsidRDefault="00A176E7" w:rsidP="0053144E">
      <w:pPr>
        <w:rPr>
          <w:rFonts w:asciiTheme="minorHAnsi" w:hAnsiTheme="minorHAnsi" w:cstheme="minorHAnsi"/>
          <w:sz w:val="22"/>
        </w:rPr>
      </w:pPr>
    </w:p>
    <w:p w14:paraId="1172D3C1" w14:textId="13EDB670" w:rsidR="00AA035E" w:rsidRPr="003E1290" w:rsidRDefault="00021696"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lastRenderedPageBreak/>
        <w:t xml:space="preserve">Resultados </w:t>
      </w:r>
    </w:p>
    <w:p w14:paraId="6597CBF5" w14:textId="00174557" w:rsidR="00FF5F78" w:rsidRPr="003E1290" w:rsidRDefault="00FF5F78" w:rsidP="0053144E">
      <w:pPr>
        <w:rPr>
          <w:rFonts w:asciiTheme="minorHAnsi" w:hAnsiTheme="minorHAnsi" w:cstheme="minorHAnsi"/>
          <w:b/>
          <w:sz w:val="22"/>
        </w:rPr>
      </w:pPr>
      <w:r w:rsidRPr="003E1290">
        <w:rPr>
          <w:rFonts w:asciiTheme="minorHAnsi" w:hAnsiTheme="minorHAnsi" w:cstheme="minorHAnsi"/>
          <w:sz w:val="22"/>
        </w:rPr>
        <w:t xml:space="preserve">El presente análisis se centra en la aplicación del Modelo de </w:t>
      </w:r>
      <w:proofErr w:type="spellStart"/>
      <w:r w:rsidRPr="003E1290">
        <w:rPr>
          <w:rFonts w:asciiTheme="minorHAnsi" w:hAnsiTheme="minorHAnsi" w:cstheme="minorHAnsi"/>
          <w:sz w:val="22"/>
        </w:rPr>
        <w:t>Avedis</w:t>
      </w:r>
      <w:proofErr w:type="spellEnd"/>
      <w:r w:rsidRPr="003E1290">
        <w:rPr>
          <w:rFonts w:asciiTheme="minorHAnsi" w:hAnsiTheme="minorHAnsi" w:cstheme="minorHAnsi"/>
          <w:sz w:val="22"/>
        </w:rPr>
        <w:t xml:space="preserve"> </w:t>
      </w:r>
      <w:proofErr w:type="spellStart"/>
      <w:r w:rsidRPr="003E1290">
        <w:rPr>
          <w:rFonts w:asciiTheme="minorHAnsi" w:hAnsiTheme="minorHAnsi" w:cstheme="minorHAnsi"/>
          <w:sz w:val="22"/>
        </w:rPr>
        <w:t>Donabedian</w:t>
      </w:r>
      <w:proofErr w:type="spellEnd"/>
      <w:r w:rsidRPr="003E1290">
        <w:rPr>
          <w:rFonts w:asciiTheme="minorHAnsi" w:hAnsiTheme="minorHAnsi" w:cstheme="minorHAnsi"/>
          <w:sz w:val="22"/>
        </w:rPr>
        <w:t>, evaluando trece indicadores de calidad en la dimensión de Estructura, Proceso y Resultado en el área de emergencia del Hospital General del Norte de Guayaquil, Los Ceibos, con datos recopilados hasta el 31 de mayo de 2025. Los resultados se presentan a través de gráfico</w:t>
      </w:r>
      <w:r w:rsidR="00E02623" w:rsidRPr="003E1290">
        <w:rPr>
          <w:rFonts w:asciiTheme="minorHAnsi" w:hAnsiTheme="minorHAnsi" w:cstheme="minorHAnsi"/>
          <w:sz w:val="22"/>
        </w:rPr>
        <w:t>s de indicadores o velocímetros</w:t>
      </w:r>
      <w:r w:rsidRPr="003E1290">
        <w:rPr>
          <w:rFonts w:asciiTheme="minorHAnsi" w:hAnsiTheme="minorHAnsi" w:cstheme="minorHAnsi"/>
          <w:sz w:val="22"/>
        </w:rPr>
        <w:t xml:space="preserve"> para cada dimensión y un análisis</w:t>
      </w:r>
      <w:r w:rsidR="00A176E7" w:rsidRPr="003E1290">
        <w:rPr>
          <w:rFonts w:asciiTheme="minorHAnsi" w:hAnsiTheme="minorHAnsi" w:cstheme="minorHAnsi"/>
          <w:sz w:val="22"/>
        </w:rPr>
        <w:t xml:space="preserve"> textual individual</w:t>
      </w:r>
      <w:r w:rsidRPr="003E1290">
        <w:rPr>
          <w:rFonts w:asciiTheme="minorHAnsi" w:hAnsiTheme="minorHAnsi" w:cstheme="minorHAnsi"/>
          <w:sz w:val="22"/>
        </w:rPr>
        <w:t xml:space="preserve"> para cada indicador.</w:t>
      </w:r>
    </w:p>
    <w:p w14:paraId="51E92CBD" w14:textId="1FEFC876" w:rsidR="00891A13" w:rsidRPr="003E1290" w:rsidRDefault="00B703B6" w:rsidP="0053144E">
      <w:pPr>
        <w:pStyle w:val="Ttulo2"/>
        <w:rPr>
          <w:rFonts w:asciiTheme="minorHAnsi" w:hAnsiTheme="minorHAnsi" w:cstheme="minorHAnsi"/>
          <w:sz w:val="22"/>
          <w:szCs w:val="22"/>
        </w:rPr>
      </w:pPr>
      <w:r w:rsidRPr="003E1290">
        <w:rPr>
          <w:rFonts w:asciiTheme="minorHAnsi" w:hAnsiTheme="minorHAnsi" w:cstheme="minorHAnsi"/>
          <w:sz w:val="22"/>
          <w:szCs w:val="22"/>
        </w:rPr>
        <w:t>Análisis de indicadores de estructura</w:t>
      </w:r>
    </w:p>
    <w:p w14:paraId="071053F9" w14:textId="0B8CBE28" w:rsidR="009B12D0" w:rsidRPr="003E1290" w:rsidRDefault="0053144E" w:rsidP="0053144E">
      <w:pPr>
        <w:rPr>
          <w:rFonts w:asciiTheme="minorHAnsi" w:hAnsiTheme="minorHAnsi" w:cstheme="minorHAnsi"/>
          <w:sz w:val="22"/>
        </w:rPr>
      </w:pPr>
      <w:r w:rsidRPr="003E1290">
        <w:rPr>
          <w:rFonts w:asciiTheme="minorHAnsi" w:hAnsiTheme="minorHAnsi" w:cstheme="minorHAnsi"/>
          <w:sz w:val="22"/>
        </w:rPr>
        <w:t>Los indicadores de estructura evalúan las características del entorno en el que se brinda la atención, incluyendo recursos humanos, físicos y organizacionales, que son esenciales para un cuidado de calidad.</w:t>
      </w:r>
    </w:p>
    <w:p w14:paraId="0094177C" w14:textId="77777777" w:rsidR="009B12D0" w:rsidRPr="003E1290" w:rsidRDefault="009B12D0" w:rsidP="0053144E">
      <w:pPr>
        <w:rPr>
          <w:rFonts w:asciiTheme="minorHAnsi" w:hAnsiTheme="minorHAnsi" w:cstheme="minorHAnsi"/>
          <w:sz w:val="22"/>
        </w:rPr>
      </w:pPr>
    </w:p>
    <w:tbl>
      <w:tblPr>
        <w:tblW w:w="8558" w:type="dxa"/>
        <w:tblInd w:w="60" w:type="dxa"/>
        <w:tblCellMar>
          <w:left w:w="70" w:type="dxa"/>
          <w:right w:w="70" w:type="dxa"/>
        </w:tblCellMar>
        <w:tblLook w:val="04A0" w:firstRow="1" w:lastRow="0" w:firstColumn="1" w:lastColumn="0" w:noHBand="0" w:noVBand="1"/>
      </w:tblPr>
      <w:tblGrid>
        <w:gridCol w:w="3595"/>
        <w:gridCol w:w="1103"/>
        <w:gridCol w:w="1241"/>
        <w:gridCol w:w="1516"/>
        <w:gridCol w:w="1103"/>
      </w:tblGrid>
      <w:tr w:rsidR="0053144E" w:rsidRPr="003E1290" w14:paraId="666CED53" w14:textId="77777777" w:rsidTr="00FB61BE">
        <w:trPr>
          <w:trHeight w:val="312"/>
        </w:trPr>
        <w:tc>
          <w:tcPr>
            <w:tcW w:w="3595" w:type="dxa"/>
            <w:tcBorders>
              <w:top w:val="single" w:sz="12" w:space="0" w:color="auto"/>
              <w:bottom w:val="single" w:sz="12" w:space="0" w:color="auto"/>
            </w:tcBorders>
            <w:shd w:val="clear" w:color="auto" w:fill="auto"/>
            <w:vAlign w:val="center"/>
            <w:hideMark/>
          </w:tcPr>
          <w:p w14:paraId="50B9BBAF"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Indicador</w:t>
            </w:r>
          </w:p>
        </w:tc>
        <w:tc>
          <w:tcPr>
            <w:tcW w:w="1103" w:type="dxa"/>
            <w:tcBorders>
              <w:top w:val="single" w:sz="12" w:space="0" w:color="auto"/>
              <w:bottom w:val="single" w:sz="12" w:space="0" w:color="auto"/>
            </w:tcBorders>
            <w:shd w:val="clear" w:color="auto" w:fill="auto"/>
            <w:vAlign w:val="center"/>
            <w:hideMark/>
          </w:tcPr>
          <w:p w14:paraId="00620CC2"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Tipo</w:t>
            </w:r>
          </w:p>
        </w:tc>
        <w:tc>
          <w:tcPr>
            <w:tcW w:w="1241" w:type="dxa"/>
            <w:tcBorders>
              <w:top w:val="single" w:sz="12" w:space="0" w:color="auto"/>
              <w:bottom w:val="single" w:sz="12" w:space="0" w:color="auto"/>
            </w:tcBorders>
            <w:shd w:val="clear" w:color="auto" w:fill="auto"/>
            <w:vAlign w:val="center"/>
            <w:hideMark/>
          </w:tcPr>
          <w:p w14:paraId="4C901C55"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Numerador</w:t>
            </w:r>
          </w:p>
        </w:tc>
        <w:tc>
          <w:tcPr>
            <w:tcW w:w="1516" w:type="dxa"/>
            <w:tcBorders>
              <w:top w:val="single" w:sz="12" w:space="0" w:color="auto"/>
              <w:bottom w:val="single" w:sz="12" w:space="0" w:color="auto"/>
            </w:tcBorders>
            <w:shd w:val="clear" w:color="auto" w:fill="auto"/>
            <w:vAlign w:val="center"/>
            <w:hideMark/>
          </w:tcPr>
          <w:p w14:paraId="4F9BC903"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Denominador</w:t>
            </w:r>
          </w:p>
        </w:tc>
        <w:tc>
          <w:tcPr>
            <w:tcW w:w="1103" w:type="dxa"/>
            <w:tcBorders>
              <w:top w:val="single" w:sz="12" w:space="0" w:color="auto"/>
              <w:bottom w:val="single" w:sz="12" w:space="0" w:color="auto"/>
            </w:tcBorders>
            <w:shd w:val="clear" w:color="auto" w:fill="auto"/>
            <w:vAlign w:val="center"/>
            <w:hideMark/>
          </w:tcPr>
          <w:p w14:paraId="267B620A" w14:textId="2E401B08"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Porcentaje</w:t>
            </w:r>
          </w:p>
        </w:tc>
      </w:tr>
      <w:tr w:rsidR="0053144E" w:rsidRPr="003E1290" w14:paraId="32CCE2AD" w14:textId="77777777" w:rsidTr="00FB61BE">
        <w:trPr>
          <w:trHeight w:val="312"/>
        </w:trPr>
        <w:tc>
          <w:tcPr>
            <w:tcW w:w="3595" w:type="dxa"/>
            <w:tcBorders>
              <w:top w:val="single" w:sz="12" w:space="0" w:color="auto"/>
            </w:tcBorders>
            <w:shd w:val="clear" w:color="auto" w:fill="auto"/>
            <w:vAlign w:val="center"/>
            <w:hideMark/>
          </w:tcPr>
          <w:p w14:paraId="7BD9853B"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Conocimiento en bombas de infusión</w:t>
            </w:r>
          </w:p>
        </w:tc>
        <w:tc>
          <w:tcPr>
            <w:tcW w:w="1103" w:type="dxa"/>
            <w:tcBorders>
              <w:top w:val="single" w:sz="12" w:space="0" w:color="auto"/>
            </w:tcBorders>
            <w:shd w:val="clear" w:color="auto" w:fill="auto"/>
            <w:vAlign w:val="center"/>
            <w:hideMark/>
          </w:tcPr>
          <w:p w14:paraId="62D920D7"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Estructura</w:t>
            </w:r>
          </w:p>
        </w:tc>
        <w:tc>
          <w:tcPr>
            <w:tcW w:w="1241" w:type="dxa"/>
            <w:tcBorders>
              <w:top w:val="single" w:sz="12" w:space="0" w:color="auto"/>
            </w:tcBorders>
            <w:shd w:val="clear" w:color="auto" w:fill="auto"/>
            <w:vAlign w:val="center"/>
            <w:hideMark/>
          </w:tcPr>
          <w:p w14:paraId="3ECDD469"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81</w:t>
            </w:r>
          </w:p>
        </w:tc>
        <w:tc>
          <w:tcPr>
            <w:tcW w:w="1516" w:type="dxa"/>
            <w:tcBorders>
              <w:top w:val="single" w:sz="12" w:space="0" w:color="auto"/>
            </w:tcBorders>
            <w:shd w:val="clear" w:color="auto" w:fill="auto"/>
            <w:vAlign w:val="center"/>
            <w:hideMark/>
          </w:tcPr>
          <w:p w14:paraId="795AA718"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81</w:t>
            </w:r>
          </w:p>
        </w:tc>
        <w:tc>
          <w:tcPr>
            <w:tcW w:w="1103" w:type="dxa"/>
            <w:tcBorders>
              <w:top w:val="single" w:sz="12" w:space="0" w:color="auto"/>
            </w:tcBorders>
            <w:shd w:val="clear" w:color="auto" w:fill="auto"/>
            <w:vAlign w:val="center"/>
            <w:hideMark/>
          </w:tcPr>
          <w:p w14:paraId="25C93397"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100</w:t>
            </w:r>
          </w:p>
        </w:tc>
      </w:tr>
      <w:tr w:rsidR="0053144E" w:rsidRPr="003E1290" w14:paraId="52B6CCC7" w14:textId="77777777" w:rsidTr="00FB61BE">
        <w:trPr>
          <w:trHeight w:val="312"/>
        </w:trPr>
        <w:tc>
          <w:tcPr>
            <w:tcW w:w="3595" w:type="dxa"/>
            <w:shd w:val="clear" w:color="auto" w:fill="auto"/>
            <w:vAlign w:val="center"/>
            <w:hideMark/>
          </w:tcPr>
          <w:p w14:paraId="7920D0E0"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Disponibilidad de medicamentos esenciales</w:t>
            </w:r>
          </w:p>
        </w:tc>
        <w:tc>
          <w:tcPr>
            <w:tcW w:w="1103" w:type="dxa"/>
            <w:shd w:val="clear" w:color="auto" w:fill="auto"/>
            <w:vAlign w:val="center"/>
            <w:hideMark/>
          </w:tcPr>
          <w:p w14:paraId="7AFA0CE5"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Estructura</w:t>
            </w:r>
          </w:p>
        </w:tc>
        <w:tc>
          <w:tcPr>
            <w:tcW w:w="1241" w:type="dxa"/>
            <w:shd w:val="clear" w:color="auto" w:fill="auto"/>
            <w:vAlign w:val="center"/>
            <w:hideMark/>
          </w:tcPr>
          <w:p w14:paraId="65CDA034"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366</w:t>
            </w:r>
          </w:p>
        </w:tc>
        <w:tc>
          <w:tcPr>
            <w:tcW w:w="1516" w:type="dxa"/>
            <w:shd w:val="clear" w:color="auto" w:fill="auto"/>
            <w:vAlign w:val="center"/>
            <w:hideMark/>
          </w:tcPr>
          <w:p w14:paraId="1C87E434"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405</w:t>
            </w:r>
          </w:p>
        </w:tc>
        <w:tc>
          <w:tcPr>
            <w:tcW w:w="1103" w:type="dxa"/>
            <w:shd w:val="clear" w:color="auto" w:fill="auto"/>
            <w:vAlign w:val="center"/>
            <w:hideMark/>
          </w:tcPr>
          <w:p w14:paraId="244A554A"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90.37</w:t>
            </w:r>
          </w:p>
        </w:tc>
      </w:tr>
      <w:tr w:rsidR="0053144E" w:rsidRPr="003E1290" w14:paraId="6FDA2910" w14:textId="77777777" w:rsidTr="00FB61BE">
        <w:trPr>
          <w:trHeight w:val="611"/>
        </w:trPr>
        <w:tc>
          <w:tcPr>
            <w:tcW w:w="3595" w:type="dxa"/>
            <w:shd w:val="clear" w:color="auto" w:fill="auto"/>
            <w:vAlign w:val="center"/>
            <w:hideMark/>
          </w:tcPr>
          <w:p w14:paraId="49DAC06A"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Proporción de camas en el área de emergencia respecto al total hospitalario</w:t>
            </w:r>
          </w:p>
        </w:tc>
        <w:tc>
          <w:tcPr>
            <w:tcW w:w="1103" w:type="dxa"/>
            <w:shd w:val="clear" w:color="auto" w:fill="auto"/>
            <w:vAlign w:val="center"/>
            <w:hideMark/>
          </w:tcPr>
          <w:p w14:paraId="68147F58"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Estructura</w:t>
            </w:r>
          </w:p>
        </w:tc>
        <w:tc>
          <w:tcPr>
            <w:tcW w:w="1241" w:type="dxa"/>
            <w:shd w:val="clear" w:color="auto" w:fill="auto"/>
            <w:vAlign w:val="center"/>
            <w:hideMark/>
          </w:tcPr>
          <w:p w14:paraId="75662ED4"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82</w:t>
            </w:r>
          </w:p>
        </w:tc>
        <w:tc>
          <w:tcPr>
            <w:tcW w:w="1516" w:type="dxa"/>
            <w:shd w:val="clear" w:color="auto" w:fill="auto"/>
            <w:vAlign w:val="center"/>
            <w:hideMark/>
          </w:tcPr>
          <w:p w14:paraId="6C1F6F60"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550</w:t>
            </w:r>
          </w:p>
        </w:tc>
        <w:tc>
          <w:tcPr>
            <w:tcW w:w="1103" w:type="dxa"/>
            <w:shd w:val="clear" w:color="auto" w:fill="auto"/>
            <w:vAlign w:val="center"/>
            <w:hideMark/>
          </w:tcPr>
          <w:p w14:paraId="0D00B987"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14.91</w:t>
            </w:r>
          </w:p>
        </w:tc>
      </w:tr>
      <w:tr w:rsidR="0053144E" w:rsidRPr="003E1290" w14:paraId="59151BAA" w14:textId="77777777" w:rsidTr="00FB61BE">
        <w:trPr>
          <w:trHeight w:val="348"/>
        </w:trPr>
        <w:tc>
          <w:tcPr>
            <w:tcW w:w="3595" w:type="dxa"/>
            <w:tcBorders>
              <w:bottom w:val="single" w:sz="12" w:space="0" w:color="auto"/>
            </w:tcBorders>
            <w:shd w:val="clear" w:color="auto" w:fill="auto"/>
            <w:vAlign w:val="center"/>
            <w:hideMark/>
          </w:tcPr>
          <w:p w14:paraId="1F662D6C"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Proporción de personal de enfermería especializado en emergencias</w:t>
            </w:r>
          </w:p>
        </w:tc>
        <w:tc>
          <w:tcPr>
            <w:tcW w:w="1103" w:type="dxa"/>
            <w:tcBorders>
              <w:bottom w:val="single" w:sz="12" w:space="0" w:color="auto"/>
            </w:tcBorders>
            <w:shd w:val="clear" w:color="auto" w:fill="auto"/>
            <w:vAlign w:val="center"/>
            <w:hideMark/>
          </w:tcPr>
          <w:p w14:paraId="2DE93D36" w14:textId="77777777" w:rsidR="0053144E" w:rsidRPr="003E1290" w:rsidRDefault="0053144E" w:rsidP="0053144E">
            <w:pPr>
              <w:ind w:firstLine="0"/>
              <w:jc w:val="left"/>
              <w:rPr>
                <w:rStyle w:val="nfasis"/>
                <w:rFonts w:asciiTheme="minorHAnsi" w:hAnsiTheme="minorHAnsi" w:cstheme="minorHAnsi"/>
                <w:sz w:val="20"/>
              </w:rPr>
            </w:pPr>
            <w:r w:rsidRPr="003E1290">
              <w:rPr>
                <w:rStyle w:val="nfasis"/>
                <w:rFonts w:asciiTheme="minorHAnsi" w:hAnsiTheme="minorHAnsi" w:cstheme="minorHAnsi"/>
                <w:sz w:val="20"/>
              </w:rPr>
              <w:t>Estructura</w:t>
            </w:r>
          </w:p>
        </w:tc>
        <w:tc>
          <w:tcPr>
            <w:tcW w:w="1241" w:type="dxa"/>
            <w:tcBorders>
              <w:bottom w:val="single" w:sz="12" w:space="0" w:color="auto"/>
            </w:tcBorders>
            <w:shd w:val="clear" w:color="auto" w:fill="auto"/>
            <w:vAlign w:val="center"/>
            <w:hideMark/>
          </w:tcPr>
          <w:p w14:paraId="67DE0433"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299</w:t>
            </w:r>
          </w:p>
        </w:tc>
        <w:tc>
          <w:tcPr>
            <w:tcW w:w="1516" w:type="dxa"/>
            <w:tcBorders>
              <w:bottom w:val="single" w:sz="12" w:space="0" w:color="auto"/>
            </w:tcBorders>
            <w:shd w:val="clear" w:color="auto" w:fill="auto"/>
            <w:vAlign w:val="center"/>
            <w:hideMark/>
          </w:tcPr>
          <w:p w14:paraId="4B541296"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964</w:t>
            </w:r>
          </w:p>
        </w:tc>
        <w:tc>
          <w:tcPr>
            <w:tcW w:w="1103" w:type="dxa"/>
            <w:tcBorders>
              <w:bottom w:val="single" w:sz="12" w:space="0" w:color="auto"/>
            </w:tcBorders>
            <w:shd w:val="clear" w:color="auto" w:fill="auto"/>
            <w:vAlign w:val="center"/>
            <w:hideMark/>
          </w:tcPr>
          <w:p w14:paraId="7359DA35" w14:textId="77777777" w:rsidR="0053144E" w:rsidRPr="003E1290" w:rsidRDefault="0053144E" w:rsidP="0053144E">
            <w:pPr>
              <w:ind w:firstLine="0"/>
              <w:jc w:val="center"/>
              <w:rPr>
                <w:rStyle w:val="nfasis"/>
                <w:rFonts w:asciiTheme="minorHAnsi" w:hAnsiTheme="minorHAnsi" w:cstheme="minorHAnsi"/>
                <w:sz w:val="20"/>
              </w:rPr>
            </w:pPr>
            <w:r w:rsidRPr="003E1290">
              <w:rPr>
                <w:rStyle w:val="nfasis"/>
                <w:rFonts w:asciiTheme="minorHAnsi" w:hAnsiTheme="minorHAnsi" w:cstheme="minorHAnsi"/>
                <w:sz w:val="20"/>
              </w:rPr>
              <w:t>0.31</w:t>
            </w:r>
          </w:p>
        </w:tc>
      </w:tr>
      <w:tr w:rsidR="00FB61BE" w:rsidRPr="003E1290" w14:paraId="720BA234" w14:textId="77777777" w:rsidTr="00FB61BE">
        <w:trPr>
          <w:trHeight w:val="239"/>
        </w:trPr>
        <w:tc>
          <w:tcPr>
            <w:tcW w:w="3595" w:type="dxa"/>
            <w:tcBorders>
              <w:top w:val="single" w:sz="12" w:space="0" w:color="auto"/>
            </w:tcBorders>
            <w:shd w:val="clear" w:color="auto" w:fill="auto"/>
            <w:vAlign w:val="center"/>
          </w:tcPr>
          <w:p w14:paraId="191716DE" w14:textId="77777777" w:rsidR="00FB61BE" w:rsidRPr="003E1290" w:rsidRDefault="00FB61BE" w:rsidP="0053144E">
            <w:pPr>
              <w:jc w:val="left"/>
              <w:rPr>
                <w:rStyle w:val="nfasis"/>
                <w:rFonts w:asciiTheme="minorHAnsi" w:hAnsiTheme="minorHAnsi" w:cstheme="minorHAnsi"/>
                <w:sz w:val="20"/>
              </w:rPr>
            </w:pPr>
          </w:p>
        </w:tc>
        <w:tc>
          <w:tcPr>
            <w:tcW w:w="1103" w:type="dxa"/>
            <w:tcBorders>
              <w:top w:val="single" w:sz="12" w:space="0" w:color="auto"/>
            </w:tcBorders>
            <w:shd w:val="clear" w:color="auto" w:fill="auto"/>
            <w:vAlign w:val="center"/>
          </w:tcPr>
          <w:p w14:paraId="25D508B5" w14:textId="77777777" w:rsidR="00FB61BE" w:rsidRPr="003E1290" w:rsidRDefault="00FB61BE" w:rsidP="0053144E">
            <w:pPr>
              <w:jc w:val="left"/>
              <w:rPr>
                <w:rStyle w:val="nfasis"/>
                <w:rFonts w:asciiTheme="minorHAnsi" w:hAnsiTheme="minorHAnsi" w:cstheme="minorHAnsi"/>
                <w:sz w:val="20"/>
              </w:rPr>
            </w:pPr>
          </w:p>
        </w:tc>
        <w:tc>
          <w:tcPr>
            <w:tcW w:w="1241" w:type="dxa"/>
            <w:tcBorders>
              <w:top w:val="single" w:sz="12" w:space="0" w:color="auto"/>
            </w:tcBorders>
            <w:shd w:val="clear" w:color="auto" w:fill="auto"/>
            <w:vAlign w:val="center"/>
          </w:tcPr>
          <w:p w14:paraId="78BBDB39" w14:textId="77777777" w:rsidR="00FB61BE" w:rsidRPr="003E1290" w:rsidRDefault="00FB61BE" w:rsidP="0053144E">
            <w:pPr>
              <w:jc w:val="center"/>
              <w:rPr>
                <w:rStyle w:val="nfasis"/>
                <w:rFonts w:asciiTheme="minorHAnsi" w:hAnsiTheme="minorHAnsi" w:cstheme="minorHAnsi"/>
                <w:sz w:val="20"/>
              </w:rPr>
            </w:pPr>
          </w:p>
        </w:tc>
        <w:tc>
          <w:tcPr>
            <w:tcW w:w="1516" w:type="dxa"/>
            <w:tcBorders>
              <w:top w:val="single" w:sz="12" w:space="0" w:color="auto"/>
            </w:tcBorders>
            <w:shd w:val="clear" w:color="auto" w:fill="auto"/>
            <w:vAlign w:val="center"/>
          </w:tcPr>
          <w:p w14:paraId="59D600E2" w14:textId="77777777" w:rsidR="00FB61BE" w:rsidRPr="003E1290" w:rsidRDefault="00FB61BE" w:rsidP="0053144E">
            <w:pPr>
              <w:jc w:val="center"/>
              <w:rPr>
                <w:rStyle w:val="nfasis"/>
                <w:rFonts w:asciiTheme="minorHAnsi" w:hAnsiTheme="minorHAnsi" w:cstheme="minorHAnsi"/>
                <w:sz w:val="20"/>
              </w:rPr>
            </w:pPr>
          </w:p>
        </w:tc>
        <w:tc>
          <w:tcPr>
            <w:tcW w:w="1103" w:type="dxa"/>
            <w:tcBorders>
              <w:top w:val="single" w:sz="12" w:space="0" w:color="auto"/>
            </w:tcBorders>
            <w:shd w:val="clear" w:color="auto" w:fill="auto"/>
            <w:vAlign w:val="center"/>
          </w:tcPr>
          <w:p w14:paraId="01ECBC97" w14:textId="77777777" w:rsidR="00FB61BE" w:rsidRPr="003E1290" w:rsidRDefault="00FB61BE" w:rsidP="0053144E">
            <w:pPr>
              <w:jc w:val="center"/>
              <w:rPr>
                <w:rStyle w:val="nfasis"/>
                <w:rFonts w:asciiTheme="minorHAnsi" w:hAnsiTheme="minorHAnsi" w:cstheme="minorHAnsi"/>
                <w:sz w:val="20"/>
              </w:rPr>
            </w:pPr>
          </w:p>
        </w:tc>
      </w:tr>
    </w:tbl>
    <w:p w14:paraId="39B28A3A" w14:textId="369E54B5" w:rsidR="0053144E" w:rsidRPr="003E1290" w:rsidRDefault="0053144E" w:rsidP="00FB61BE">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5.1.</w:t>
      </w:r>
      <w:r w:rsidR="00DC3142" w:rsidRPr="003E1290">
        <w:rPr>
          <w:rFonts w:asciiTheme="minorHAnsi" w:eastAsia="Times New Roman" w:hAnsiTheme="minorHAnsi" w:cstheme="minorHAnsi"/>
          <w:b/>
          <w:bCs/>
          <w:sz w:val="22"/>
          <w:lang w:eastAsia="es-EC"/>
        </w:rPr>
        <w:t>1</w:t>
      </w:r>
      <w:r w:rsidRPr="003E1290">
        <w:rPr>
          <w:rFonts w:asciiTheme="minorHAnsi" w:eastAsia="Times New Roman" w:hAnsiTheme="minorHAnsi" w:cstheme="minorHAnsi"/>
          <w:b/>
          <w:bCs/>
          <w:sz w:val="22"/>
          <w:lang w:eastAsia="es-EC"/>
        </w:rPr>
        <w:t xml:space="preserve"> Indicador</w:t>
      </w:r>
      <w:r w:rsidR="00023239" w:rsidRPr="003E1290">
        <w:rPr>
          <w:rFonts w:asciiTheme="minorHAnsi" w:eastAsia="Times New Roman" w:hAnsiTheme="minorHAnsi" w:cstheme="minorHAnsi"/>
          <w:b/>
          <w:bCs/>
          <w:sz w:val="22"/>
          <w:lang w:eastAsia="es-EC"/>
        </w:rPr>
        <w:t xml:space="preserve"> E</w:t>
      </w:r>
      <w:r w:rsidR="00023239" w:rsidRPr="003E1290">
        <w:rPr>
          <w:rFonts w:asciiTheme="minorHAnsi" w:eastAsia="Times New Roman" w:hAnsiTheme="minorHAnsi" w:cstheme="minorHAnsi"/>
          <w:b/>
          <w:bCs/>
          <w:sz w:val="22"/>
          <w:vertAlign w:val="subscript"/>
          <w:lang w:eastAsia="es-EC"/>
        </w:rPr>
        <w:t>1</w:t>
      </w:r>
      <w:r w:rsidRPr="003E1290">
        <w:rPr>
          <w:rFonts w:asciiTheme="minorHAnsi" w:eastAsia="Times New Roman" w:hAnsiTheme="minorHAnsi" w:cstheme="minorHAnsi"/>
          <w:b/>
          <w:bCs/>
          <w:sz w:val="22"/>
          <w:lang w:eastAsia="es-EC"/>
        </w:rPr>
        <w:t>: Conocimiento en Bombas de Infusión</w:t>
      </w:r>
    </w:p>
    <w:p w14:paraId="116DA904" w14:textId="77777777" w:rsidR="0053144E" w:rsidRPr="003E1290" w:rsidRDefault="0053144E" w:rsidP="0053144E">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El indicador evalúa el porcentaje de personal que posee el conocimiento adecuado para la manipulación y uso de las bombas de infusión, un equipo crítico para la administración precisa de fluidos y medicamentos en emergencia.</w:t>
      </w:r>
    </w:p>
    <w:p w14:paraId="369E7488" w14:textId="03D5B240" w:rsidR="00A176E7" w:rsidRPr="003E1290" w:rsidRDefault="00A176E7" w:rsidP="00A176E7">
      <w:pPr>
        <w:spacing w:before="100" w:beforeAutospacing="1" w:after="100" w:afterAutospacing="1"/>
        <w:jc w:val="center"/>
        <w:rPr>
          <w:rFonts w:asciiTheme="minorHAnsi" w:eastAsia="Times New Roman" w:hAnsiTheme="minorHAnsi" w:cstheme="minorHAnsi"/>
          <w:sz w:val="22"/>
          <w:lang w:eastAsia="es-EC"/>
        </w:rPr>
      </w:pPr>
      <w:r w:rsidRPr="003E1290">
        <w:rPr>
          <w:rFonts w:asciiTheme="minorHAnsi" w:eastAsia="Times New Roman" w:hAnsiTheme="minorHAnsi" w:cstheme="minorHAnsi"/>
          <w:noProof/>
          <w:sz w:val="22"/>
          <w:lang w:eastAsia="es-EC"/>
        </w:rPr>
        <w:drawing>
          <wp:inline distT="0" distB="0" distL="0" distR="0" wp14:anchorId="3823F507" wp14:editId="65FA7C2D">
            <wp:extent cx="2026920" cy="1330916"/>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243" r="20025" b="14650"/>
                    <a:stretch/>
                  </pic:blipFill>
                  <pic:spPr bwMode="auto">
                    <a:xfrm>
                      <a:off x="0" y="0"/>
                      <a:ext cx="2029922" cy="1332887"/>
                    </a:xfrm>
                    <a:prstGeom prst="rect">
                      <a:avLst/>
                    </a:prstGeom>
                    <a:noFill/>
                    <a:ln>
                      <a:noFill/>
                    </a:ln>
                    <a:effectLst/>
                    <a:extLst/>
                  </pic:spPr>
                </pic:pic>
              </a:graphicData>
            </a:graphic>
          </wp:inline>
        </w:drawing>
      </w:r>
    </w:p>
    <w:p w14:paraId="2622D281" w14:textId="56F2AB32" w:rsidR="0053144E" w:rsidRPr="003E1290" w:rsidRDefault="0053144E" w:rsidP="00FB61BE">
      <w:pPr>
        <w:tabs>
          <w:tab w:val="left" w:pos="3119"/>
        </w:tabs>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A176E7" w:rsidRPr="003E1290">
        <w:rPr>
          <w:rFonts w:asciiTheme="minorHAnsi" w:eastAsia="Times New Roman" w:hAnsiTheme="minorHAnsi" w:cstheme="minorHAnsi"/>
          <w:b/>
          <w:sz w:val="22"/>
          <w:lang w:eastAsia="es-EC"/>
        </w:rPr>
        <w:t xml:space="preserve"> </w:t>
      </w:r>
      <w:r w:rsidRPr="003E1290">
        <w:rPr>
          <w:rFonts w:asciiTheme="minorHAnsi" w:eastAsia="Times New Roman" w:hAnsiTheme="minorHAnsi" w:cstheme="minorHAnsi"/>
          <w:sz w:val="22"/>
          <w:lang w:eastAsia="es-EC"/>
        </w:rPr>
        <w:t>El resultado del 100.00% indica que la totalidad del personal de enfermería evaluado (N=81) ha demostrado el conocimiento requerido sobre el manejo de las bombas de infusión. Este es un logro sobresaliente, ya que una correcta operación del equipo es crucial para garantizar la seguridad del paciente y evitar errores de medicación, fortaleciendo la calidad de la estructura organizacional en términos de capacitación y competencia técnica.</w:t>
      </w:r>
    </w:p>
    <w:p w14:paraId="20F2599C" w14:textId="3E60E0D9" w:rsidR="0053144E" w:rsidRPr="003E1290" w:rsidRDefault="0053144E" w:rsidP="00FB61BE">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w:t>
      </w:r>
      <w:r w:rsidR="00DC3142" w:rsidRPr="003E1290">
        <w:rPr>
          <w:rFonts w:asciiTheme="minorHAnsi" w:eastAsia="Times New Roman" w:hAnsiTheme="minorHAnsi" w:cstheme="minorHAnsi"/>
          <w:b/>
          <w:bCs/>
          <w:sz w:val="22"/>
          <w:lang w:eastAsia="es-EC"/>
        </w:rPr>
        <w:t>1.</w:t>
      </w:r>
      <w:r w:rsidR="005100B2">
        <w:rPr>
          <w:rFonts w:asciiTheme="minorHAnsi" w:eastAsia="Times New Roman" w:hAnsiTheme="minorHAnsi" w:cstheme="minorHAnsi"/>
          <w:b/>
          <w:bCs/>
          <w:sz w:val="22"/>
          <w:lang w:eastAsia="es-EC"/>
        </w:rPr>
        <w:t>2</w:t>
      </w:r>
      <w:r w:rsidRPr="003E1290">
        <w:rPr>
          <w:rFonts w:asciiTheme="minorHAnsi" w:eastAsia="Times New Roman" w:hAnsiTheme="minorHAnsi" w:cstheme="minorHAnsi"/>
          <w:b/>
          <w:bCs/>
          <w:sz w:val="22"/>
          <w:lang w:eastAsia="es-EC"/>
        </w:rPr>
        <w:t xml:space="preserve"> Indicador</w:t>
      </w:r>
      <w:r w:rsidR="00023239" w:rsidRPr="003E1290">
        <w:rPr>
          <w:rFonts w:asciiTheme="minorHAnsi" w:eastAsia="Times New Roman" w:hAnsiTheme="minorHAnsi" w:cstheme="minorHAnsi"/>
          <w:b/>
          <w:bCs/>
          <w:sz w:val="22"/>
          <w:lang w:eastAsia="es-EC"/>
        </w:rPr>
        <w:t xml:space="preserve"> </w:t>
      </w:r>
      <w:r w:rsidR="00023239" w:rsidRPr="003E1290">
        <w:rPr>
          <w:rFonts w:asciiTheme="minorHAnsi" w:eastAsia="Times New Roman" w:hAnsiTheme="minorHAnsi" w:cstheme="minorHAnsi"/>
          <w:b/>
          <w:bCs/>
          <w:sz w:val="22"/>
          <w:lang w:eastAsia="es-EC"/>
        </w:rPr>
        <w:t>E</w:t>
      </w:r>
      <w:r w:rsidR="00023239" w:rsidRPr="003E1290">
        <w:rPr>
          <w:rFonts w:asciiTheme="minorHAnsi" w:eastAsia="Times New Roman" w:hAnsiTheme="minorHAnsi" w:cstheme="minorHAnsi"/>
          <w:b/>
          <w:bCs/>
          <w:sz w:val="22"/>
          <w:vertAlign w:val="subscript"/>
          <w:lang w:eastAsia="es-EC"/>
        </w:rPr>
        <w:t>2</w:t>
      </w:r>
      <w:r w:rsidRPr="003E1290">
        <w:rPr>
          <w:rFonts w:asciiTheme="minorHAnsi" w:eastAsia="Times New Roman" w:hAnsiTheme="minorHAnsi" w:cstheme="minorHAnsi"/>
          <w:b/>
          <w:bCs/>
          <w:sz w:val="22"/>
          <w:lang w:eastAsia="es-EC"/>
        </w:rPr>
        <w:t>: Disponibilidad de Medicamentos Esenciales</w:t>
      </w:r>
    </w:p>
    <w:p w14:paraId="0C6478BC" w14:textId="77777777" w:rsidR="0053144E" w:rsidRPr="003E1290" w:rsidRDefault="0053144E" w:rsidP="0053144E">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Este indicador mide la proporción de medicamentos considerados esenciales que se encuentran disponibles en el área de emergencia respecto al listado total establecido.</w:t>
      </w:r>
    </w:p>
    <w:p w14:paraId="7F97780C" w14:textId="3020FF4F" w:rsidR="00FB61BE" w:rsidRPr="003E1290" w:rsidRDefault="00FB61BE" w:rsidP="00FB61BE">
      <w:pPr>
        <w:tabs>
          <w:tab w:val="left" w:pos="3119"/>
          <w:tab w:val="left" w:pos="3544"/>
        </w:tabs>
        <w:spacing w:before="100" w:beforeAutospacing="1" w:after="100" w:afterAutospacing="1"/>
        <w:jc w:val="center"/>
        <w:rPr>
          <w:rFonts w:asciiTheme="minorHAnsi" w:eastAsia="Times New Roman" w:hAnsiTheme="minorHAnsi" w:cstheme="minorHAnsi"/>
          <w:b/>
          <w:sz w:val="22"/>
          <w:lang w:eastAsia="es-EC"/>
        </w:rPr>
      </w:pPr>
      <w:r w:rsidRPr="003E1290">
        <w:rPr>
          <w:rFonts w:asciiTheme="minorHAnsi" w:eastAsia="Times New Roman" w:hAnsiTheme="minorHAnsi" w:cstheme="minorHAnsi"/>
          <w:b/>
          <w:noProof/>
          <w:sz w:val="22"/>
          <w:lang w:eastAsia="es-EC"/>
        </w:rPr>
        <w:lastRenderedPageBreak/>
        <w:drawing>
          <wp:inline distT="0" distB="0" distL="0" distR="0" wp14:anchorId="7CEF54BC" wp14:editId="2BFC9B70">
            <wp:extent cx="2102095" cy="136398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221" r="21664" b="15243"/>
                    <a:stretch/>
                  </pic:blipFill>
                  <pic:spPr bwMode="auto">
                    <a:xfrm>
                      <a:off x="0" y="0"/>
                      <a:ext cx="2107226" cy="1367309"/>
                    </a:xfrm>
                    <a:prstGeom prst="rect">
                      <a:avLst/>
                    </a:prstGeom>
                    <a:noFill/>
                    <a:ln>
                      <a:noFill/>
                    </a:ln>
                    <a:effectLst/>
                    <a:extLst/>
                  </pic:spPr>
                </pic:pic>
              </a:graphicData>
            </a:graphic>
          </wp:inline>
        </w:drawing>
      </w:r>
    </w:p>
    <w:p w14:paraId="7CDC32F7" w14:textId="5F609A81" w:rsidR="0053144E" w:rsidRPr="003E1290" w:rsidRDefault="0053144E" w:rsidP="00A176E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A176E7" w:rsidRPr="003E1290">
        <w:rPr>
          <w:rFonts w:asciiTheme="minorHAnsi" w:eastAsia="Times New Roman" w:hAnsiTheme="minorHAnsi" w:cstheme="minorHAnsi"/>
          <w:b/>
          <w:sz w:val="22"/>
          <w:lang w:eastAsia="es-EC"/>
        </w:rPr>
        <w:t xml:space="preserve"> </w:t>
      </w:r>
      <w:r w:rsidR="008E521B" w:rsidRPr="003E1290">
        <w:rPr>
          <w:rFonts w:asciiTheme="minorHAnsi" w:eastAsia="Times New Roman" w:hAnsiTheme="minorHAnsi" w:cstheme="minorHAnsi"/>
          <w:sz w:val="22"/>
          <w:lang w:eastAsia="es-EC"/>
        </w:rPr>
        <w:t>Con un porcentaje del 90.4</w:t>
      </w:r>
      <w:r w:rsidRPr="003E1290">
        <w:rPr>
          <w:rFonts w:asciiTheme="minorHAnsi" w:eastAsia="Times New Roman" w:hAnsiTheme="minorHAnsi" w:cstheme="minorHAnsi"/>
          <w:sz w:val="22"/>
          <w:lang w:eastAsia="es-EC"/>
        </w:rPr>
        <w:t>% (366 de 405 medicamentos), la disponibilidad de medicamentos esenciales es alta. Este resultado es vital, ya que el acceso oportuno a la farmacología necesaria es un pilar fundamental de la atención de emergencia y de los resultado</w:t>
      </w:r>
      <w:r w:rsidR="0085388C" w:rsidRPr="003E1290">
        <w:rPr>
          <w:rFonts w:asciiTheme="minorHAnsi" w:eastAsia="Times New Roman" w:hAnsiTheme="minorHAnsi" w:cstheme="minorHAnsi"/>
          <w:sz w:val="22"/>
          <w:lang w:eastAsia="es-EC"/>
        </w:rPr>
        <w:t>s clínicos. No obstante, el 9.6</w:t>
      </w:r>
      <w:r w:rsidRPr="003E1290">
        <w:rPr>
          <w:rFonts w:asciiTheme="minorHAnsi" w:eastAsia="Times New Roman" w:hAnsiTheme="minorHAnsi" w:cstheme="minorHAnsi"/>
          <w:sz w:val="22"/>
          <w:lang w:eastAsia="es-EC"/>
        </w:rPr>
        <w:t>% de indisponibilidad (39 medicamentos) representa un área de mejora que debe ser abordada de forma prioritaria para eliminar cualquier barrera estructural que pueda comprometer la capacidad de respuesta inmediata.</w:t>
      </w:r>
    </w:p>
    <w:p w14:paraId="269C2385" w14:textId="259EAC8A" w:rsidR="0053144E" w:rsidRPr="003E1290" w:rsidRDefault="00E02623" w:rsidP="00FB61BE">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5.1.</w:t>
      </w:r>
      <w:r w:rsidRPr="003E1290">
        <w:rPr>
          <w:rFonts w:asciiTheme="minorHAnsi" w:eastAsia="Times New Roman" w:hAnsiTheme="minorHAnsi" w:cstheme="minorHAnsi"/>
          <w:b/>
          <w:bCs/>
          <w:sz w:val="22"/>
          <w:lang w:eastAsia="es-EC"/>
        </w:rPr>
        <w:t xml:space="preserve">3 </w:t>
      </w:r>
      <w:r w:rsidR="0053144E" w:rsidRPr="003E1290">
        <w:rPr>
          <w:rFonts w:asciiTheme="minorHAnsi" w:eastAsia="Times New Roman" w:hAnsiTheme="minorHAnsi" w:cstheme="minorHAnsi"/>
          <w:b/>
          <w:bCs/>
          <w:sz w:val="22"/>
          <w:lang w:eastAsia="es-EC"/>
        </w:rPr>
        <w:t>Indicador</w:t>
      </w:r>
      <w:r w:rsidR="00023239" w:rsidRPr="003E1290">
        <w:rPr>
          <w:rFonts w:asciiTheme="minorHAnsi" w:eastAsia="Times New Roman" w:hAnsiTheme="minorHAnsi" w:cstheme="minorHAnsi"/>
          <w:b/>
          <w:bCs/>
          <w:sz w:val="22"/>
          <w:lang w:eastAsia="es-EC"/>
        </w:rPr>
        <w:t xml:space="preserve"> </w:t>
      </w:r>
      <w:r w:rsidR="00023239" w:rsidRPr="003E1290">
        <w:rPr>
          <w:rFonts w:asciiTheme="minorHAnsi" w:eastAsia="Times New Roman" w:hAnsiTheme="minorHAnsi" w:cstheme="minorHAnsi"/>
          <w:b/>
          <w:bCs/>
          <w:sz w:val="22"/>
          <w:lang w:eastAsia="es-EC"/>
        </w:rPr>
        <w:t>E</w:t>
      </w:r>
      <w:r w:rsidR="00023239" w:rsidRPr="003E1290">
        <w:rPr>
          <w:rFonts w:asciiTheme="minorHAnsi" w:eastAsia="Times New Roman" w:hAnsiTheme="minorHAnsi" w:cstheme="minorHAnsi"/>
          <w:b/>
          <w:bCs/>
          <w:sz w:val="22"/>
          <w:vertAlign w:val="subscript"/>
          <w:lang w:eastAsia="es-EC"/>
        </w:rPr>
        <w:t>3</w:t>
      </w:r>
      <w:r w:rsidR="0053144E" w:rsidRPr="003E1290">
        <w:rPr>
          <w:rFonts w:asciiTheme="minorHAnsi" w:eastAsia="Times New Roman" w:hAnsiTheme="minorHAnsi" w:cstheme="minorHAnsi"/>
          <w:b/>
          <w:bCs/>
          <w:sz w:val="22"/>
          <w:lang w:eastAsia="es-EC"/>
        </w:rPr>
        <w:t>: Proporción de Camas en el Área de Emergencia Respecto al Total Hospitalario</w:t>
      </w:r>
    </w:p>
    <w:p w14:paraId="4F0B6D79" w14:textId="77777777" w:rsidR="0053144E" w:rsidRPr="003E1290" w:rsidRDefault="0053144E" w:rsidP="0053144E">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Este indicador estructural se enfoca en la capacidad instalada para la atención de urgencias, comparando el número de camas en emergencia con el total de camas del hospital.</w:t>
      </w:r>
    </w:p>
    <w:p w14:paraId="2DE03BAB" w14:textId="5935157B" w:rsidR="008E521B" w:rsidRPr="003E1290" w:rsidRDefault="008E521B" w:rsidP="008E521B">
      <w:pPr>
        <w:spacing w:before="100" w:beforeAutospacing="1" w:after="100" w:afterAutospacing="1"/>
        <w:jc w:val="center"/>
        <w:rPr>
          <w:rFonts w:asciiTheme="minorHAnsi" w:eastAsia="Times New Roman" w:hAnsiTheme="minorHAnsi" w:cstheme="minorHAnsi"/>
          <w:sz w:val="22"/>
          <w:lang w:eastAsia="es-EC"/>
        </w:rPr>
      </w:pPr>
      <w:r w:rsidRPr="003E1290">
        <w:rPr>
          <w:rFonts w:asciiTheme="minorHAnsi" w:eastAsia="Times New Roman" w:hAnsiTheme="minorHAnsi" w:cstheme="minorHAnsi"/>
          <w:noProof/>
          <w:sz w:val="22"/>
          <w:lang w:eastAsia="es-EC"/>
        </w:rPr>
        <w:drawing>
          <wp:inline distT="0" distB="0" distL="0" distR="0" wp14:anchorId="6485E852" wp14:editId="42207389">
            <wp:extent cx="2067215" cy="1391886"/>
            <wp:effectExtent l="0" t="0" r="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424" r="22851" b="15867"/>
                    <a:stretch/>
                  </pic:blipFill>
                  <pic:spPr bwMode="auto">
                    <a:xfrm>
                      <a:off x="0" y="0"/>
                      <a:ext cx="2075877" cy="1397718"/>
                    </a:xfrm>
                    <a:prstGeom prst="rect">
                      <a:avLst/>
                    </a:prstGeom>
                    <a:noFill/>
                    <a:ln>
                      <a:noFill/>
                    </a:ln>
                    <a:effectLst/>
                    <a:extLst/>
                  </pic:spPr>
                </pic:pic>
              </a:graphicData>
            </a:graphic>
          </wp:inline>
        </w:drawing>
      </w:r>
    </w:p>
    <w:p w14:paraId="60AA4D15" w14:textId="7C4BA78F" w:rsidR="0053144E" w:rsidRPr="003E1290" w:rsidRDefault="0053144E" w:rsidP="00FB61BE">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FB61BE" w:rsidRPr="003E1290">
        <w:rPr>
          <w:rFonts w:asciiTheme="minorHAnsi" w:eastAsia="Times New Roman" w:hAnsiTheme="minorHAnsi" w:cstheme="minorHAnsi"/>
          <w:b/>
          <w:sz w:val="22"/>
          <w:lang w:eastAsia="es-EC"/>
        </w:rPr>
        <w:t xml:space="preserve"> </w:t>
      </w:r>
      <w:r w:rsidR="0085388C" w:rsidRPr="003E1290">
        <w:rPr>
          <w:rFonts w:asciiTheme="minorHAnsi" w:eastAsia="Times New Roman" w:hAnsiTheme="minorHAnsi" w:cstheme="minorHAnsi"/>
          <w:sz w:val="22"/>
          <w:lang w:eastAsia="es-EC"/>
        </w:rPr>
        <w:t>La proporción se sitúa en 13.7</w:t>
      </w:r>
      <w:r w:rsidRPr="003E1290">
        <w:rPr>
          <w:rFonts w:asciiTheme="minorHAnsi" w:eastAsia="Times New Roman" w:hAnsiTheme="minorHAnsi" w:cstheme="minorHAnsi"/>
          <w:sz w:val="22"/>
          <w:lang w:eastAsia="es-EC"/>
        </w:rPr>
        <w:t>% (82 camas de emergencia de un total de 550). Esta cifra proporciona una perspectiva sobre la prioridad y el dimensionamiento otorgado al servicio de emergencia dentro de la infraestructura hospitalaria global. El análisis de este porcentaje debe contextualizarse con el flujo y la demanda histórica de pacientes, pero un valor óptimo asegura que la capacidad física de la estructura sea suficiente para atender la carga asistencial sin generar sobreocupación o esperas prolongadas.</w:t>
      </w:r>
    </w:p>
    <w:p w14:paraId="005C0788" w14:textId="534DFD74" w:rsidR="0053144E" w:rsidRPr="003E1290" w:rsidRDefault="00E02623" w:rsidP="00E02623">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5.1.</w:t>
      </w:r>
      <w:r w:rsidRPr="003E1290">
        <w:rPr>
          <w:rFonts w:asciiTheme="minorHAnsi" w:eastAsia="Times New Roman" w:hAnsiTheme="minorHAnsi" w:cstheme="minorHAnsi"/>
          <w:b/>
          <w:bCs/>
          <w:sz w:val="22"/>
          <w:lang w:eastAsia="es-EC"/>
        </w:rPr>
        <w:t xml:space="preserve">4 </w:t>
      </w:r>
      <w:r w:rsidR="0053144E" w:rsidRPr="003E1290">
        <w:rPr>
          <w:rFonts w:asciiTheme="minorHAnsi" w:eastAsia="Times New Roman" w:hAnsiTheme="minorHAnsi" w:cstheme="minorHAnsi"/>
          <w:b/>
          <w:sz w:val="22"/>
          <w:lang w:eastAsia="es-EC"/>
        </w:rPr>
        <w:t>Indicador</w:t>
      </w:r>
      <w:r w:rsidR="00023239" w:rsidRPr="003E1290">
        <w:rPr>
          <w:rFonts w:asciiTheme="minorHAnsi" w:eastAsia="Times New Roman" w:hAnsiTheme="minorHAnsi" w:cstheme="minorHAnsi"/>
          <w:b/>
          <w:sz w:val="22"/>
          <w:lang w:eastAsia="es-EC"/>
        </w:rPr>
        <w:t xml:space="preserve"> </w:t>
      </w:r>
      <w:r w:rsidR="00023239" w:rsidRPr="003E1290">
        <w:rPr>
          <w:rFonts w:asciiTheme="minorHAnsi" w:eastAsia="Times New Roman" w:hAnsiTheme="minorHAnsi" w:cstheme="minorHAnsi"/>
          <w:b/>
          <w:bCs/>
          <w:sz w:val="22"/>
          <w:lang w:eastAsia="es-EC"/>
        </w:rPr>
        <w:t>E</w:t>
      </w:r>
      <w:r w:rsidR="00023239" w:rsidRPr="003E1290">
        <w:rPr>
          <w:rFonts w:asciiTheme="minorHAnsi" w:eastAsia="Times New Roman" w:hAnsiTheme="minorHAnsi" w:cstheme="minorHAnsi"/>
          <w:b/>
          <w:bCs/>
          <w:sz w:val="22"/>
          <w:vertAlign w:val="subscript"/>
          <w:lang w:eastAsia="es-EC"/>
        </w:rPr>
        <w:t>4</w:t>
      </w:r>
      <w:r w:rsidR="0053144E" w:rsidRPr="003E1290">
        <w:rPr>
          <w:rFonts w:asciiTheme="minorHAnsi" w:eastAsia="Times New Roman" w:hAnsiTheme="minorHAnsi" w:cstheme="minorHAnsi"/>
          <w:b/>
          <w:sz w:val="22"/>
          <w:lang w:eastAsia="es-EC"/>
        </w:rPr>
        <w:t>: Proporción de Personal de Enfermería Especializado en Emergencias</w:t>
      </w:r>
    </w:p>
    <w:p w14:paraId="6599AB45" w14:textId="77777777" w:rsidR="0053144E" w:rsidRPr="003E1290" w:rsidRDefault="0053144E" w:rsidP="0053144E">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Mide el porcentaje de personal de enfermería en el área que cuenta con una especialización formal en el manejo de emergencias o cuidados críticos.</w:t>
      </w:r>
    </w:p>
    <w:p w14:paraId="7D681C12" w14:textId="58D3A40A" w:rsidR="0085388C" w:rsidRPr="003E1290" w:rsidRDefault="0085388C" w:rsidP="0085388C">
      <w:pPr>
        <w:spacing w:before="100" w:beforeAutospacing="1" w:after="100" w:afterAutospacing="1"/>
        <w:jc w:val="center"/>
        <w:rPr>
          <w:rFonts w:asciiTheme="minorHAnsi" w:eastAsia="Times New Roman" w:hAnsiTheme="minorHAnsi" w:cstheme="minorHAnsi"/>
          <w:sz w:val="22"/>
          <w:lang w:eastAsia="es-EC"/>
        </w:rPr>
      </w:pPr>
      <w:r w:rsidRPr="003E1290">
        <w:rPr>
          <w:rFonts w:asciiTheme="minorHAnsi" w:eastAsia="Times New Roman" w:hAnsiTheme="minorHAnsi" w:cstheme="minorHAnsi"/>
          <w:noProof/>
          <w:sz w:val="22"/>
          <w:lang w:eastAsia="es-EC"/>
        </w:rPr>
        <w:drawing>
          <wp:inline distT="0" distB="0" distL="0" distR="0" wp14:anchorId="4A49023A" wp14:editId="19FD03F9">
            <wp:extent cx="2097116" cy="1379855"/>
            <wp:effectExtent l="0" t="0" r="0" b="0"/>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2638" r="21885" b="16956"/>
                    <a:stretch/>
                  </pic:blipFill>
                  <pic:spPr bwMode="auto">
                    <a:xfrm>
                      <a:off x="0" y="0"/>
                      <a:ext cx="2098791" cy="1380957"/>
                    </a:xfrm>
                    <a:prstGeom prst="rect">
                      <a:avLst/>
                    </a:prstGeom>
                    <a:noFill/>
                    <a:ln>
                      <a:noFill/>
                    </a:ln>
                    <a:effectLst/>
                    <a:extLst/>
                  </pic:spPr>
                </pic:pic>
              </a:graphicData>
            </a:graphic>
          </wp:inline>
        </w:drawing>
      </w:r>
    </w:p>
    <w:p w14:paraId="0C89CD7D" w14:textId="1D842895" w:rsidR="0053144E" w:rsidRPr="003E1290" w:rsidRDefault="0053144E" w:rsidP="00014D73">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lastRenderedPageBreak/>
        <w:t>Análisis:</w:t>
      </w:r>
      <w:r w:rsidR="00DC3142" w:rsidRPr="003E1290">
        <w:rPr>
          <w:rFonts w:asciiTheme="minorHAnsi" w:eastAsia="Times New Roman" w:hAnsiTheme="minorHAnsi" w:cstheme="minorHAnsi"/>
          <w:sz w:val="22"/>
          <w:lang w:eastAsia="es-EC"/>
        </w:rPr>
        <w:t xml:space="preserve"> </w:t>
      </w:r>
      <w:r w:rsidR="00EA15B3" w:rsidRPr="003E1290">
        <w:rPr>
          <w:rFonts w:asciiTheme="minorHAnsi" w:eastAsia="Times New Roman" w:hAnsiTheme="minorHAnsi" w:cstheme="minorHAnsi"/>
          <w:sz w:val="22"/>
          <w:lang w:eastAsia="es-EC"/>
        </w:rPr>
        <w:t xml:space="preserve">El resultado de </w:t>
      </w:r>
      <w:r w:rsidRPr="003E1290">
        <w:rPr>
          <w:rFonts w:asciiTheme="minorHAnsi" w:eastAsia="Times New Roman" w:hAnsiTheme="minorHAnsi" w:cstheme="minorHAnsi"/>
          <w:sz w:val="22"/>
          <w:lang w:eastAsia="es-EC"/>
        </w:rPr>
        <w:t>31% (299 de 964 empleados) es sumamente bajo y constituye la debilidad estructural más crítica del servicio. La especialización del personal es un factor determinante de la calidad, ya que está directamente relacionada con la competencia, la agilidad y la toma de decisiones en situacio</w:t>
      </w:r>
      <w:r w:rsidR="00EA15B3" w:rsidRPr="003E1290">
        <w:rPr>
          <w:rFonts w:asciiTheme="minorHAnsi" w:eastAsia="Times New Roman" w:hAnsiTheme="minorHAnsi" w:cstheme="minorHAnsi"/>
          <w:sz w:val="22"/>
          <w:lang w:eastAsia="es-EC"/>
        </w:rPr>
        <w:t>nes críticas. Una proporción</w:t>
      </w:r>
      <w:r w:rsidRPr="003E1290">
        <w:rPr>
          <w:rFonts w:asciiTheme="minorHAnsi" w:eastAsia="Times New Roman" w:hAnsiTheme="minorHAnsi" w:cstheme="minorHAnsi"/>
          <w:sz w:val="22"/>
          <w:lang w:eastAsia="es-EC"/>
        </w:rPr>
        <w:t xml:space="preserve"> baja sugiere que la mayoría de la atención es brindada por personal no especializado, lo que inevitablemente podría influir en la calidad de los procesos y, subsecuentemente, en los resultados. Es imperativo desarrollar planes de capacitación y contratación de personal especializado.</w:t>
      </w:r>
    </w:p>
    <w:p w14:paraId="4A3E57B2" w14:textId="127DEB7E" w:rsidR="00023239" w:rsidRPr="003E1290" w:rsidRDefault="00023239" w:rsidP="00023239">
      <w:pPr>
        <w:pStyle w:val="Ttulo2"/>
        <w:rPr>
          <w:rFonts w:asciiTheme="minorHAnsi" w:hAnsiTheme="minorHAnsi" w:cstheme="minorHAnsi"/>
          <w:sz w:val="22"/>
          <w:szCs w:val="22"/>
        </w:rPr>
      </w:pPr>
      <w:r w:rsidRPr="003E1290">
        <w:rPr>
          <w:rFonts w:asciiTheme="minorHAnsi" w:hAnsiTheme="minorHAnsi" w:cstheme="minorHAnsi"/>
          <w:sz w:val="22"/>
          <w:szCs w:val="22"/>
        </w:rPr>
        <w:t>Análisis de ind</w:t>
      </w:r>
      <w:r w:rsidRPr="003E1290">
        <w:rPr>
          <w:rFonts w:asciiTheme="minorHAnsi" w:hAnsiTheme="minorHAnsi" w:cstheme="minorHAnsi"/>
          <w:sz w:val="22"/>
          <w:szCs w:val="22"/>
        </w:rPr>
        <w:t>icadores de Procesos</w:t>
      </w:r>
    </w:p>
    <w:p w14:paraId="54B7264C" w14:textId="2A5FAF90" w:rsidR="00023239" w:rsidRPr="003E1290" w:rsidRDefault="00023239" w:rsidP="00023239">
      <w:pPr>
        <w:rPr>
          <w:rFonts w:asciiTheme="minorHAnsi" w:hAnsiTheme="minorHAnsi" w:cstheme="minorHAnsi"/>
          <w:sz w:val="22"/>
        </w:rPr>
      </w:pPr>
      <w:r w:rsidRPr="003E1290">
        <w:rPr>
          <w:rFonts w:asciiTheme="minorHAnsi" w:hAnsiTheme="minorHAnsi" w:cstheme="minorHAnsi"/>
          <w:sz w:val="22"/>
        </w:rPr>
        <w:t>Los indicadores de proceso miden las actividades específicas llevadas a cabo durante la prestación de la atención, lo que incluye la interacción entre el paciente y los proveedores de salud, y la adherencia a guías clínicas.</w:t>
      </w:r>
    </w:p>
    <w:p w14:paraId="11451B43" w14:textId="77777777" w:rsidR="00023239" w:rsidRPr="003E1290" w:rsidRDefault="00023239" w:rsidP="00023239">
      <w:pPr>
        <w:rPr>
          <w:rFonts w:asciiTheme="minorHAnsi" w:hAnsiTheme="minorHAnsi" w:cstheme="minorHAnsi"/>
          <w:sz w:val="22"/>
        </w:rPr>
      </w:pPr>
    </w:p>
    <w:tbl>
      <w:tblPr>
        <w:tblW w:w="8800" w:type="dxa"/>
        <w:tblInd w:w="55" w:type="dxa"/>
        <w:tblCellMar>
          <w:left w:w="70" w:type="dxa"/>
          <w:right w:w="70" w:type="dxa"/>
        </w:tblCellMar>
        <w:tblLook w:val="04A0" w:firstRow="1" w:lastRow="0" w:firstColumn="1" w:lastColumn="0" w:noHBand="0" w:noVBand="1"/>
      </w:tblPr>
      <w:tblGrid>
        <w:gridCol w:w="4360"/>
        <w:gridCol w:w="787"/>
        <w:gridCol w:w="1080"/>
        <w:gridCol w:w="1260"/>
        <w:gridCol w:w="1313"/>
      </w:tblGrid>
      <w:tr w:rsidR="00023239" w:rsidRPr="00023239" w14:paraId="0D2DD570" w14:textId="77777777" w:rsidTr="009C1B5B">
        <w:trPr>
          <w:trHeight w:val="300"/>
        </w:trPr>
        <w:tc>
          <w:tcPr>
            <w:tcW w:w="4360" w:type="dxa"/>
            <w:tcBorders>
              <w:top w:val="single" w:sz="4" w:space="0" w:color="auto"/>
              <w:bottom w:val="single" w:sz="4" w:space="0" w:color="auto"/>
            </w:tcBorders>
            <w:shd w:val="clear" w:color="auto" w:fill="auto"/>
            <w:vAlign w:val="center"/>
            <w:hideMark/>
          </w:tcPr>
          <w:p w14:paraId="0B5C5B35" w14:textId="77777777" w:rsidR="00023239" w:rsidRPr="00023239" w:rsidRDefault="00023239" w:rsidP="009C1B5B">
            <w:pPr>
              <w:ind w:firstLine="0"/>
              <w:rPr>
                <w:rFonts w:asciiTheme="minorHAnsi" w:eastAsia="Times New Roman" w:hAnsiTheme="minorHAnsi" w:cstheme="minorHAnsi"/>
                <w:color w:val="000000"/>
                <w:sz w:val="20"/>
                <w:szCs w:val="20"/>
                <w:lang w:eastAsia="es-EC"/>
              </w:rPr>
            </w:pPr>
            <w:r w:rsidRPr="003E1290">
              <w:rPr>
                <w:rStyle w:val="nfasis"/>
                <w:rFonts w:asciiTheme="minorHAnsi" w:hAnsiTheme="minorHAnsi" w:cstheme="minorHAnsi"/>
                <w:sz w:val="20"/>
              </w:rPr>
              <w:t>Indicador</w:t>
            </w:r>
          </w:p>
        </w:tc>
        <w:tc>
          <w:tcPr>
            <w:tcW w:w="787" w:type="dxa"/>
            <w:tcBorders>
              <w:top w:val="single" w:sz="4" w:space="0" w:color="auto"/>
              <w:bottom w:val="single" w:sz="4" w:space="0" w:color="auto"/>
            </w:tcBorders>
            <w:shd w:val="clear" w:color="auto" w:fill="auto"/>
            <w:vAlign w:val="center"/>
            <w:hideMark/>
          </w:tcPr>
          <w:p w14:paraId="7123A4F7" w14:textId="77777777" w:rsidR="00023239" w:rsidRPr="00023239" w:rsidRDefault="00023239" w:rsidP="009C1B5B">
            <w:pPr>
              <w:ind w:firstLine="0"/>
              <w:rPr>
                <w:rFonts w:asciiTheme="minorHAnsi" w:eastAsia="Times New Roman" w:hAnsiTheme="minorHAnsi" w:cstheme="minorHAnsi"/>
                <w:color w:val="000000"/>
                <w:sz w:val="20"/>
                <w:szCs w:val="20"/>
                <w:lang w:eastAsia="es-EC"/>
              </w:rPr>
            </w:pPr>
            <w:r w:rsidRPr="003E1290">
              <w:rPr>
                <w:rStyle w:val="nfasis"/>
                <w:rFonts w:asciiTheme="minorHAnsi" w:hAnsiTheme="minorHAnsi" w:cstheme="minorHAnsi"/>
                <w:sz w:val="20"/>
              </w:rPr>
              <w:t>Tipo</w:t>
            </w:r>
          </w:p>
        </w:tc>
        <w:tc>
          <w:tcPr>
            <w:tcW w:w="1080" w:type="dxa"/>
            <w:tcBorders>
              <w:top w:val="single" w:sz="4" w:space="0" w:color="auto"/>
              <w:bottom w:val="single" w:sz="4" w:space="0" w:color="auto"/>
            </w:tcBorders>
            <w:shd w:val="clear" w:color="auto" w:fill="auto"/>
            <w:vAlign w:val="center"/>
            <w:hideMark/>
          </w:tcPr>
          <w:p w14:paraId="7F7C9814" w14:textId="77777777" w:rsidR="00023239" w:rsidRPr="00023239" w:rsidRDefault="00023239" w:rsidP="009C1B5B">
            <w:pPr>
              <w:ind w:firstLine="0"/>
              <w:rPr>
                <w:rFonts w:asciiTheme="minorHAnsi" w:eastAsia="Times New Roman" w:hAnsiTheme="minorHAnsi" w:cstheme="minorHAnsi"/>
                <w:color w:val="000000"/>
                <w:sz w:val="20"/>
                <w:szCs w:val="20"/>
                <w:lang w:eastAsia="es-EC"/>
              </w:rPr>
            </w:pPr>
            <w:r w:rsidRPr="003E1290">
              <w:rPr>
                <w:rStyle w:val="nfasis"/>
                <w:rFonts w:asciiTheme="minorHAnsi" w:hAnsiTheme="minorHAnsi" w:cstheme="minorHAnsi"/>
                <w:sz w:val="20"/>
              </w:rPr>
              <w:t>Numerador</w:t>
            </w:r>
          </w:p>
        </w:tc>
        <w:tc>
          <w:tcPr>
            <w:tcW w:w="1260" w:type="dxa"/>
            <w:tcBorders>
              <w:top w:val="single" w:sz="4" w:space="0" w:color="auto"/>
              <w:bottom w:val="single" w:sz="4" w:space="0" w:color="auto"/>
            </w:tcBorders>
            <w:shd w:val="clear" w:color="auto" w:fill="auto"/>
            <w:vAlign w:val="center"/>
            <w:hideMark/>
          </w:tcPr>
          <w:p w14:paraId="69E33D4F" w14:textId="77777777" w:rsidR="00023239" w:rsidRPr="00023239" w:rsidRDefault="00023239" w:rsidP="009C1B5B">
            <w:pPr>
              <w:ind w:firstLine="0"/>
              <w:rPr>
                <w:rFonts w:asciiTheme="minorHAnsi" w:eastAsia="Times New Roman" w:hAnsiTheme="minorHAnsi" w:cstheme="minorHAnsi"/>
                <w:color w:val="000000"/>
                <w:sz w:val="20"/>
                <w:szCs w:val="20"/>
                <w:lang w:eastAsia="es-EC"/>
              </w:rPr>
            </w:pPr>
            <w:r w:rsidRPr="003E1290">
              <w:rPr>
                <w:rStyle w:val="nfasis"/>
                <w:rFonts w:asciiTheme="minorHAnsi" w:hAnsiTheme="minorHAnsi" w:cstheme="minorHAnsi"/>
                <w:sz w:val="20"/>
              </w:rPr>
              <w:t>Denominador</w:t>
            </w:r>
          </w:p>
        </w:tc>
        <w:tc>
          <w:tcPr>
            <w:tcW w:w="1313" w:type="dxa"/>
            <w:tcBorders>
              <w:top w:val="single" w:sz="4" w:space="0" w:color="auto"/>
              <w:bottom w:val="single" w:sz="4" w:space="0" w:color="auto"/>
            </w:tcBorders>
            <w:shd w:val="clear" w:color="auto" w:fill="auto"/>
            <w:vAlign w:val="center"/>
            <w:hideMark/>
          </w:tcPr>
          <w:p w14:paraId="4DB3FE41" w14:textId="77777777" w:rsidR="00023239" w:rsidRPr="00023239" w:rsidRDefault="00023239" w:rsidP="009C1B5B">
            <w:pPr>
              <w:ind w:firstLine="0"/>
              <w:rPr>
                <w:rFonts w:asciiTheme="minorHAnsi" w:eastAsia="Times New Roman" w:hAnsiTheme="minorHAnsi" w:cstheme="minorHAnsi"/>
                <w:color w:val="000000"/>
                <w:sz w:val="20"/>
                <w:szCs w:val="20"/>
                <w:lang w:eastAsia="es-EC"/>
              </w:rPr>
            </w:pPr>
            <w:r w:rsidRPr="003E1290">
              <w:rPr>
                <w:rStyle w:val="nfasis"/>
                <w:rFonts w:asciiTheme="minorHAnsi" w:hAnsiTheme="minorHAnsi" w:cstheme="minorHAnsi"/>
                <w:sz w:val="20"/>
              </w:rPr>
              <w:t>Porcentaje</w:t>
            </w:r>
          </w:p>
        </w:tc>
      </w:tr>
      <w:tr w:rsidR="00023239" w:rsidRPr="00023239" w14:paraId="331A18F1" w14:textId="77777777" w:rsidTr="009C1B5B">
        <w:trPr>
          <w:trHeight w:val="300"/>
        </w:trPr>
        <w:tc>
          <w:tcPr>
            <w:tcW w:w="4360" w:type="dxa"/>
            <w:tcBorders>
              <w:top w:val="single" w:sz="4" w:space="0" w:color="auto"/>
            </w:tcBorders>
            <w:shd w:val="clear" w:color="auto" w:fill="auto"/>
            <w:vAlign w:val="center"/>
            <w:hideMark/>
          </w:tcPr>
          <w:p w14:paraId="3261EAA7"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 xml:space="preserve">Profilaxis de </w:t>
            </w:r>
            <w:proofErr w:type="spellStart"/>
            <w:r w:rsidRPr="00023239">
              <w:rPr>
                <w:rFonts w:asciiTheme="minorHAnsi" w:eastAsia="Times New Roman" w:hAnsiTheme="minorHAnsi" w:cstheme="minorHAnsi"/>
                <w:i/>
                <w:color w:val="000000"/>
                <w:sz w:val="20"/>
                <w:szCs w:val="20"/>
                <w:lang w:eastAsia="es-EC"/>
              </w:rPr>
              <w:t>tromboembolismo</w:t>
            </w:r>
            <w:proofErr w:type="spellEnd"/>
            <w:r w:rsidRPr="00023239">
              <w:rPr>
                <w:rFonts w:asciiTheme="minorHAnsi" w:eastAsia="Times New Roman" w:hAnsiTheme="minorHAnsi" w:cstheme="minorHAnsi"/>
                <w:i/>
                <w:color w:val="000000"/>
                <w:sz w:val="20"/>
                <w:szCs w:val="20"/>
                <w:lang w:eastAsia="es-EC"/>
              </w:rPr>
              <w:t xml:space="preserve"> venoso</w:t>
            </w:r>
          </w:p>
        </w:tc>
        <w:tc>
          <w:tcPr>
            <w:tcW w:w="787" w:type="dxa"/>
            <w:tcBorders>
              <w:top w:val="single" w:sz="4" w:space="0" w:color="auto"/>
            </w:tcBorders>
            <w:shd w:val="clear" w:color="auto" w:fill="auto"/>
            <w:vAlign w:val="center"/>
            <w:hideMark/>
          </w:tcPr>
          <w:p w14:paraId="7173CEA6"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tcBorders>
              <w:top w:val="single" w:sz="4" w:space="0" w:color="auto"/>
            </w:tcBorders>
            <w:shd w:val="clear" w:color="auto" w:fill="auto"/>
            <w:vAlign w:val="center"/>
            <w:hideMark/>
          </w:tcPr>
          <w:p w14:paraId="02CBA92C"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452</w:t>
            </w:r>
          </w:p>
        </w:tc>
        <w:tc>
          <w:tcPr>
            <w:tcW w:w="1260" w:type="dxa"/>
            <w:tcBorders>
              <w:top w:val="single" w:sz="4" w:space="0" w:color="auto"/>
            </w:tcBorders>
            <w:shd w:val="clear" w:color="auto" w:fill="auto"/>
            <w:vAlign w:val="center"/>
            <w:hideMark/>
          </w:tcPr>
          <w:p w14:paraId="5A25C1FE"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627</w:t>
            </w:r>
          </w:p>
        </w:tc>
        <w:tc>
          <w:tcPr>
            <w:tcW w:w="1313" w:type="dxa"/>
            <w:tcBorders>
              <w:top w:val="single" w:sz="4" w:space="0" w:color="auto"/>
            </w:tcBorders>
            <w:shd w:val="clear" w:color="auto" w:fill="auto"/>
            <w:vAlign w:val="center"/>
            <w:hideMark/>
          </w:tcPr>
          <w:p w14:paraId="75901247"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72.09</w:t>
            </w:r>
          </w:p>
        </w:tc>
      </w:tr>
      <w:tr w:rsidR="00023239" w:rsidRPr="00023239" w14:paraId="7F41508E" w14:textId="77777777" w:rsidTr="009C1B5B">
        <w:trPr>
          <w:trHeight w:val="300"/>
        </w:trPr>
        <w:tc>
          <w:tcPr>
            <w:tcW w:w="4360" w:type="dxa"/>
            <w:shd w:val="clear" w:color="auto" w:fill="auto"/>
            <w:vAlign w:val="center"/>
            <w:hideMark/>
          </w:tcPr>
          <w:p w14:paraId="0B3BA5CD"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Valoración de riesgo de caídas</w:t>
            </w:r>
          </w:p>
        </w:tc>
        <w:tc>
          <w:tcPr>
            <w:tcW w:w="787" w:type="dxa"/>
            <w:shd w:val="clear" w:color="auto" w:fill="auto"/>
            <w:vAlign w:val="center"/>
            <w:hideMark/>
          </w:tcPr>
          <w:p w14:paraId="0A54718F"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shd w:val="clear" w:color="auto" w:fill="auto"/>
            <w:vAlign w:val="center"/>
            <w:hideMark/>
          </w:tcPr>
          <w:p w14:paraId="64952462"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452</w:t>
            </w:r>
          </w:p>
        </w:tc>
        <w:tc>
          <w:tcPr>
            <w:tcW w:w="1260" w:type="dxa"/>
            <w:shd w:val="clear" w:color="auto" w:fill="auto"/>
            <w:vAlign w:val="center"/>
            <w:hideMark/>
          </w:tcPr>
          <w:p w14:paraId="48A1AE99"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452</w:t>
            </w:r>
          </w:p>
        </w:tc>
        <w:tc>
          <w:tcPr>
            <w:tcW w:w="1313" w:type="dxa"/>
            <w:shd w:val="clear" w:color="auto" w:fill="auto"/>
            <w:vAlign w:val="center"/>
            <w:hideMark/>
          </w:tcPr>
          <w:p w14:paraId="7DB40C1B"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100</w:t>
            </w:r>
          </w:p>
        </w:tc>
      </w:tr>
      <w:tr w:rsidR="00023239" w:rsidRPr="00023239" w14:paraId="46560D60" w14:textId="77777777" w:rsidTr="009C1B5B">
        <w:trPr>
          <w:trHeight w:val="300"/>
        </w:trPr>
        <w:tc>
          <w:tcPr>
            <w:tcW w:w="4360" w:type="dxa"/>
            <w:shd w:val="clear" w:color="auto" w:fill="auto"/>
            <w:vAlign w:val="center"/>
            <w:hideMark/>
          </w:tcPr>
          <w:p w14:paraId="07BC5565"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Valoración de úlceras por presión</w:t>
            </w:r>
          </w:p>
        </w:tc>
        <w:tc>
          <w:tcPr>
            <w:tcW w:w="787" w:type="dxa"/>
            <w:shd w:val="clear" w:color="auto" w:fill="auto"/>
            <w:vAlign w:val="center"/>
            <w:hideMark/>
          </w:tcPr>
          <w:p w14:paraId="5F24B644"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shd w:val="clear" w:color="auto" w:fill="auto"/>
            <w:vAlign w:val="center"/>
            <w:hideMark/>
          </w:tcPr>
          <w:p w14:paraId="1E713FD9"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452</w:t>
            </w:r>
          </w:p>
        </w:tc>
        <w:tc>
          <w:tcPr>
            <w:tcW w:w="1260" w:type="dxa"/>
            <w:shd w:val="clear" w:color="auto" w:fill="auto"/>
            <w:vAlign w:val="center"/>
            <w:hideMark/>
          </w:tcPr>
          <w:p w14:paraId="79AB25F2"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452</w:t>
            </w:r>
          </w:p>
        </w:tc>
        <w:tc>
          <w:tcPr>
            <w:tcW w:w="1313" w:type="dxa"/>
            <w:shd w:val="clear" w:color="auto" w:fill="auto"/>
            <w:vAlign w:val="center"/>
            <w:hideMark/>
          </w:tcPr>
          <w:p w14:paraId="35DBA502"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100</w:t>
            </w:r>
          </w:p>
        </w:tc>
      </w:tr>
      <w:tr w:rsidR="00023239" w:rsidRPr="00023239" w14:paraId="5645AA70" w14:textId="77777777" w:rsidTr="009C1B5B">
        <w:trPr>
          <w:trHeight w:val="300"/>
        </w:trPr>
        <w:tc>
          <w:tcPr>
            <w:tcW w:w="4360" w:type="dxa"/>
            <w:shd w:val="clear" w:color="auto" w:fill="auto"/>
            <w:vAlign w:val="center"/>
            <w:hideMark/>
          </w:tcPr>
          <w:p w14:paraId="6E4BF8EF"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Identificación correcta del paciente</w:t>
            </w:r>
          </w:p>
        </w:tc>
        <w:tc>
          <w:tcPr>
            <w:tcW w:w="787" w:type="dxa"/>
            <w:shd w:val="clear" w:color="auto" w:fill="auto"/>
            <w:vAlign w:val="center"/>
            <w:hideMark/>
          </w:tcPr>
          <w:p w14:paraId="7399D997"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shd w:val="clear" w:color="auto" w:fill="auto"/>
            <w:vAlign w:val="center"/>
            <w:hideMark/>
          </w:tcPr>
          <w:p w14:paraId="703D5DEE"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176</w:t>
            </w:r>
          </w:p>
        </w:tc>
        <w:tc>
          <w:tcPr>
            <w:tcW w:w="1260" w:type="dxa"/>
            <w:shd w:val="clear" w:color="auto" w:fill="auto"/>
            <w:vAlign w:val="center"/>
            <w:hideMark/>
          </w:tcPr>
          <w:p w14:paraId="7D4958D6"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200</w:t>
            </w:r>
          </w:p>
        </w:tc>
        <w:tc>
          <w:tcPr>
            <w:tcW w:w="1313" w:type="dxa"/>
            <w:shd w:val="clear" w:color="auto" w:fill="auto"/>
            <w:vAlign w:val="center"/>
            <w:hideMark/>
          </w:tcPr>
          <w:p w14:paraId="01E200CF"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88</w:t>
            </w:r>
          </w:p>
        </w:tc>
      </w:tr>
      <w:tr w:rsidR="00023239" w:rsidRPr="00023239" w14:paraId="260B4A14" w14:textId="77777777" w:rsidTr="009C1B5B">
        <w:trPr>
          <w:trHeight w:val="300"/>
        </w:trPr>
        <w:tc>
          <w:tcPr>
            <w:tcW w:w="4360" w:type="dxa"/>
            <w:shd w:val="clear" w:color="auto" w:fill="auto"/>
            <w:vAlign w:val="center"/>
            <w:hideMark/>
          </w:tcPr>
          <w:p w14:paraId="49A86F18"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Uso correcto de EPP</w:t>
            </w:r>
          </w:p>
        </w:tc>
        <w:tc>
          <w:tcPr>
            <w:tcW w:w="787" w:type="dxa"/>
            <w:shd w:val="clear" w:color="auto" w:fill="auto"/>
            <w:vAlign w:val="center"/>
            <w:hideMark/>
          </w:tcPr>
          <w:p w14:paraId="5DBAC57B"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shd w:val="clear" w:color="auto" w:fill="auto"/>
            <w:vAlign w:val="center"/>
            <w:hideMark/>
          </w:tcPr>
          <w:p w14:paraId="6136F0C0"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89</w:t>
            </w:r>
          </w:p>
        </w:tc>
        <w:tc>
          <w:tcPr>
            <w:tcW w:w="1260" w:type="dxa"/>
            <w:shd w:val="clear" w:color="auto" w:fill="auto"/>
            <w:vAlign w:val="center"/>
            <w:hideMark/>
          </w:tcPr>
          <w:p w14:paraId="13BED343"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110</w:t>
            </w:r>
          </w:p>
        </w:tc>
        <w:tc>
          <w:tcPr>
            <w:tcW w:w="1313" w:type="dxa"/>
            <w:shd w:val="clear" w:color="auto" w:fill="auto"/>
            <w:vAlign w:val="center"/>
            <w:hideMark/>
          </w:tcPr>
          <w:p w14:paraId="1ABB7F31"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80.91</w:t>
            </w:r>
          </w:p>
        </w:tc>
      </w:tr>
      <w:tr w:rsidR="00023239" w:rsidRPr="00023239" w14:paraId="7679B67B" w14:textId="77777777" w:rsidTr="009C1B5B">
        <w:trPr>
          <w:trHeight w:val="300"/>
        </w:trPr>
        <w:tc>
          <w:tcPr>
            <w:tcW w:w="4360" w:type="dxa"/>
            <w:shd w:val="clear" w:color="auto" w:fill="auto"/>
            <w:vAlign w:val="center"/>
            <w:hideMark/>
          </w:tcPr>
          <w:p w14:paraId="1A259B7D"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Higiene de manos</w:t>
            </w:r>
          </w:p>
        </w:tc>
        <w:tc>
          <w:tcPr>
            <w:tcW w:w="787" w:type="dxa"/>
            <w:shd w:val="clear" w:color="auto" w:fill="auto"/>
            <w:vAlign w:val="center"/>
            <w:hideMark/>
          </w:tcPr>
          <w:p w14:paraId="2FCAC30F"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shd w:val="clear" w:color="auto" w:fill="auto"/>
            <w:vAlign w:val="center"/>
            <w:hideMark/>
          </w:tcPr>
          <w:p w14:paraId="10A9D637"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97</w:t>
            </w:r>
          </w:p>
        </w:tc>
        <w:tc>
          <w:tcPr>
            <w:tcW w:w="1260" w:type="dxa"/>
            <w:shd w:val="clear" w:color="auto" w:fill="auto"/>
            <w:vAlign w:val="center"/>
            <w:hideMark/>
          </w:tcPr>
          <w:p w14:paraId="5E8BC58F"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120</w:t>
            </w:r>
          </w:p>
        </w:tc>
        <w:tc>
          <w:tcPr>
            <w:tcW w:w="1313" w:type="dxa"/>
            <w:shd w:val="clear" w:color="auto" w:fill="auto"/>
            <w:vAlign w:val="center"/>
            <w:hideMark/>
          </w:tcPr>
          <w:p w14:paraId="3326E707"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80.83</w:t>
            </w:r>
          </w:p>
        </w:tc>
      </w:tr>
      <w:tr w:rsidR="00023239" w:rsidRPr="00023239" w14:paraId="04497ABD" w14:textId="77777777" w:rsidTr="009C1B5B">
        <w:trPr>
          <w:trHeight w:val="300"/>
        </w:trPr>
        <w:tc>
          <w:tcPr>
            <w:tcW w:w="4360" w:type="dxa"/>
            <w:tcBorders>
              <w:bottom w:val="single" w:sz="4" w:space="0" w:color="auto"/>
            </w:tcBorders>
            <w:shd w:val="clear" w:color="auto" w:fill="auto"/>
            <w:vAlign w:val="center"/>
            <w:hideMark/>
          </w:tcPr>
          <w:p w14:paraId="365A7CB4"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Administración correcta de medicamentos</w:t>
            </w:r>
          </w:p>
        </w:tc>
        <w:tc>
          <w:tcPr>
            <w:tcW w:w="787" w:type="dxa"/>
            <w:tcBorders>
              <w:bottom w:val="single" w:sz="4" w:space="0" w:color="auto"/>
            </w:tcBorders>
            <w:shd w:val="clear" w:color="auto" w:fill="auto"/>
            <w:vAlign w:val="center"/>
            <w:hideMark/>
          </w:tcPr>
          <w:p w14:paraId="486ECE25" w14:textId="77777777" w:rsidR="00023239" w:rsidRPr="00023239" w:rsidRDefault="00023239" w:rsidP="009C1B5B">
            <w:pPr>
              <w:ind w:firstLine="0"/>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Proceso</w:t>
            </w:r>
          </w:p>
        </w:tc>
        <w:tc>
          <w:tcPr>
            <w:tcW w:w="1080" w:type="dxa"/>
            <w:tcBorders>
              <w:bottom w:val="single" w:sz="4" w:space="0" w:color="auto"/>
            </w:tcBorders>
            <w:shd w:val="clear" w:color="auto" w:fill="auto"/>
            <w:vAlign w:val="center"/>
            <w:hideMark/>
          </w:tcPr>
          <w:p w14:paraId="5DE74997"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76</w:t>
            </w:r>
          </w:p>
        </w:tc>
        <w:tc>
          <w:tcPr>
            <w:tcW w:w="1260" w:type="dxa"/>
            <w:tcBorders>
              <w:bottom w:val="single" w:sz="4" w:space="0" w:color="auto"/>
            </w:tcBorders>
            <w:shd w:val="clear" w:color="auto" w:fill="auto"/>
            <w:vAlign w:val="center"/>
            <w:hideMark/>
          </w:tcPr>
          <w:p w14:paraId="0CFF1221"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81</w:t>
            </w:r>
          </w:p>
        </w:tc>
        <w:tc>
          <w:tcPr>
            <w:tcW w:w="1313" w:type="dxa"/>
            <w:tcBorders>
              <w:bottom w:val="single" w:sz="4" w:space="0" w:color="auto"/>
            </w:tcBorders>
            <w:shd w:val="clear" w:color="auto" w:fill="auto"/>
            <w:vAlign w:val="center"/>
            <w:hideMark/>
          </w:tcPr>
          <w:p w14:paraId="30674186" w14:textId="77777777" w:rsidR="00023239" w:rsidRPr="00023239" w:rsidRDefault="00023239" w:rsidP="00023239">
            <w:pPr>
              <w:ind w:firstLine="0"/>
              <w:jc w:val="center"/>
              <w:rPr>
                <w:rFonts w:asciiTheme="minorHAnsi" w:eastAsia="Times New Roman" w:hAnsiTheme="minorHAnsi" w:cstheme="minorHAnsi"/>
                <w:i/>
                <w:color w:val="000000"/>
                <w:sz w:val="20"/>
                <w:szCs w:val="20"/>
                <w:lang w:eastAsia="es-EC"/>
              </w:rPr>
            </w:pPr>
            <w:r w:rsidRPr="00023239">
              <w:rPr>
                <w:rFonts w:asciiTheme="minorHAnsi" w:eastAsia="Times New Roman" w:hAnsiTheme="minorHAnsi" w:cstheme="minorHAnsi"/>
                <w:i/>
                <w:color w:val="000000"/>
                <w:sz w:val="20"/>
                <w:szCs w:val="20"/>
                <w:lang w:eastAsia="es-EC"/>
              </w:rPr>
              <w:t>93.83</w:t>
            </w:r>
          </w:p>
        </w:tc>
      </w:tr>
    </w:tbl>
    <w:p w14:paraId="4ADA543F" w14:textId="245EB382" w:rsidR="00023239" w:rsidRPr="003E1290" w:rsidRDefault="00172257" w:rsidP="00023239">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sidR="00023239" w:rsidRPr="003E1290">
        <w:rPr>
          <w:rFonts w:asciiTheme="minorHAnsi" w:eastAsia="Times New Roman" w:hAnsiTheme="minorHAnsi" w:cstheme="minorHAnsi"/>
          <w:b/>
          <w:bCs/>
          <w:sz w:val="22"/>
          <w:lang w:eastAsia="es-EC"/>
        </w:rPr>
        <w:t>.1 Indicador</w:t>
      </w:r>
      <w:r w:rsidRPr="003E1290">
        <w:rPr>
          <w:rFonts w:asciiTheme="minorHAnsi" w:eastAsia="Times New Roman" w:hAnsiTheme="minorHAnsi" w:cstheme="minorHAnsi"/>
          <w:b/>
          <w:bCs/>
          <w:sz w:val="22"/>
          <w:lang w:eastAsia="es-EC"/>
        </w:rPr>
        <w:t xml:space="preserve"> P</w:t>
      </w:r>
      <w:r w:rsidR="00023239" w:rsidRPr="003E1290">
        <w:rPr>
          <w:rFonts w:asciiTheme="minorHAnsi" w:eastAsia="Times New Roman" w:hAnsiTheme="minorHAnsi" w:cstheme="minorHAnsi"/>
          <w:b/>
          <w:bCs/>
          <w:sz w:val="22"/>
          <w:vertAlign w:val="subscript"/>
          <w:lang w:eastAsia="es-EC"/>
        </w:rPr>
        <w:t>1</w:t>
      </w:r>
      <w:r w:rsidR="00023239" w:rsidRPr="003E1290">
        <w:rPr>
          <w:rFonts w:asciiTheme="minorHAnsi" w:eastAsia="Times New Roman" w:hAnsiTheme="minorHAnsi" w:cstheme="minorHAnsi"/>
          <w:b/>
          <w:bCs/>
          <w:sz w:val="22"/>
          <w:lang w:eastAsia="es-EC"/>
        </w:rPr>
        <w:t xml:space="preserve">: </w:t>
      </w:r>
      <w:r w:rsidRPr="003E1290">
        <w:rPr>
          <w:rFonts w:asciiTheme="minorHAnsi" w:eastAsia="Times New Roman" w:hAnsiTheme="minorHAnsi" w:cstheme="minorHAnsi"/>
          <w:b/>
          <w:bCs/>
          <w:sz w:val="22"/>
          <w:lang w:eastAsia="es-EC"/>
        </w:rPr>
        <w:t xml:space="preserve">Profilaxis de </w:t>
      </w:r>
      <w:proofErr w:type="spellStart"/>
      <w:r w:rsidRPr="003E1290">
        <w:rPr>
          <w:rFonts w:asciiTheme="minorHAnsi" w:eastAsia="Times New Roman" w:hAnsiTheme="minorHAnsi" w:cstheme="minorHAnsi"/>
          <w:b/>
          <w:bCs/>
          <w:sz w:val="22"/>
          <w:lang w:eastAsia="es-EC"/>
        </w:rPr>
        <w:t>tromboembolismo</w:t>
      </w:r>
      <w:proofErr w:type="spellEnd"/>
      <w:r w:rsidRPr="003E1290">
        <w:rPr>
          <w:rFonts w:asciiTheme="minorHAnsi" w:eastAsia="Times New Roman" w:hAnsiTheme="minorHAnsi" w:cstheme="minorHAnsi"/>
          <w:b/>
          <w:bCs/>
          <w:sz w:val="22"/>
          <w:lang w:eastAsia="es-EC"/>
        </w:rPr>
        <w:t xml:space="preserve"> venoso</w:t>
      </w:r>
    </w:p>
    <w:p w14:paraId="4EBABAA7"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Este indicador de proceso evalúa el porcentaje de pacientes con indicación que reciben la profilaxis para TEV de manera oportuna, una práctica clave en la seguridad del paciente.</w:t>
      </w:r>
    </w:p>
    <w:p w14:paraId="5441ACCD" w14:textId="134A3D55"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44C25032" wp14:editId="05A1714C">
            <wp:extent cx="2009941" cy="13341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5754" r="25794" b="17626"/>
                    <a:stretch/>
                  </pic:blipFill>
                  <pic:spPr bwMode="auto">
                    <a:xfrm>
                      <a:off x="0" y="0"/>
                      <a:ext cx="2011736" cy="1335326"/>
                    </a:xfrm>
                    <a:prstGeom prst="rect">
                      <a:avLst/>
                    </a:prstGeom>
                    <a:noFill/>
                    <a:ln>
                      <a:noFill/>
                    </a:ln>
                    <a:extLst>
                      <a:ext uri="{53640926-AAD7-44D8-BBD7-CCE9431645EC}">
                        <a14:shadowObscured xmlns:a14="http://schemas.microsoft.com/office/drawing/2010/main"/>
                      </a:ext>
                    </a:extLst>
                  </pic:spPr>
                </pic:pic>
              </a:graphicData>
            </a:graphic>
          </wp:inline>
        </w:drawing>
      </w:r>
    </w:p>
    <w:p w14:paraId="0A9D650E" w14:textId="5B5BF9CE" w:rsidR="00DB01B7" w:rsidRDefault="00DB01B7" w:rsidP="003E1290">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3E1290">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Con un porcentaje del 72.09%, existe un margen significativo de mejora. El hecho de que 27.91% de los pacientes con riesgo (175 de 627) no recibieran la profilaxis indica una falla en la adherencia a los protocolos clínicos. Esta deficiencia en el proceso aumenta directamente el riesgo de complicaciones graves y puede llevar a malos resultados de salud, destacando la necesidad de reforzar la monitorización y el cumplimiento de las guías de práctica clínica.</w:t>
      </w:r>
    </w:p>
    <w:p w14:paraId="533A83DB" w14:textId="526EE0D1" w:rsidR="00DB01B7" w:rsidRPr="003E1290" w:rsidRDefault="003E1290" w:rsidP="003E1290">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2</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2</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Valoración de Riesgo de Caídas</w:t>
      </w:r>
    </w:p>
    <w:p w14:paraId="06E14420"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Mide la proporción de pacientes en el área de emergencia a los que se les realiza la valoración de riesgo de caídas según el protocolo establecido.</w:t>
      </w:r>
    </w:p>
    <w:p w14:paraId="74FCA471" w14:textId="185D6905"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lastRenderedPageBreak/>
        <w:drawing>
          <wp:inline distT="0" distB="0" distL="0" distR="0" wp14:anchorId="0B6B0DE9" wp14:editId="251D4DF4">
            <wp:extent cx="1943704" cy="131127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6547" r="26984" b="18705"/>
                    <a:stretch/>
                  </pic:blipFill>
                  <pic:spPr bwMode="auto">
                    <a:xfrm>
                      <a:off x="0" y="0"/>
                      <a:ext cx="1938906" cy="1308038"/>
                    </a:xfrm>
                    <a:prstGeom prst="rect">
                      <a:avLst/>
                    </a:prstGeom>
                    <a:noFill/>
                    <a:ln>
                      <a:noFill/>
                    </a:ln>
                    <a:extLst>
                      <a:ext uri="{53640926-AAD7-44D8-BBD7-CCE9431645EC}">
                        <a14:shadowObscured xmlns:a14="http://schemas.microsoft.com/office/drawing/2010/main"/>
                      </a:ext>
                    </a:extLst>
                  </pic:spPr>
                </pic:pic>
              </a:graphicData>
            </a:graphic>
          </wp:inline>
        </w:drawing>
      </w:r>
    </w:p>
    <w:p w14:paraId="7B248071" w14:textId="3E0E23FA" w:rsidR="00DB01B7" w:rsidRDefault="00DB01B7" w:rsidP="003E1290">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3E1290">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El 100.00% de cumplimiento (452 de 452 pacientes) es un excelente resultado. Esto demuestra una adhesión total al protocolo de seguridad del paciente. La evaluación sistemática del riesgo es un proceso preventivo esencial que, cuando se realiza correctamente, establece la base para intervenciones adecuadas, reflejando un proceso asistencial maduro y centrado en la prevención de eventos adversos.</w:t>
      </w:r>
    </w:p>
    <w:p w14:paraId="42606C42" w14:textId="1394C493" w:rsidR="00DB01B7" w:rsidRPr="003E1290" w:rsidRDefault="003E1290" w:rsidP="003E1290">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3</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3</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Valoración de Úlceras por Presión (UPP)</w:t>
      </w:r>
    </w:p>
    <w:p w14:paraId="0825E789"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Evalúa el porcentaje de pacientes a los que se les realiza la valoración inicial del riesgo de UPP, una medida preventiva crítica para la calidad de la atención de enfermería.</w:t>
      </w:r>
    </w:p>
    <w:p w14:paraId="377BB8D7" w14:textId="3A906662"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4A33153C" wp14:editId="4C5AF6C1">
            <wp:extent cx="1915629" cy="1296035"/>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6547" r="26587" b="17986"/>
                    <a:stretch/>
                  </pic:blipFill>
                  <pic:spPr bwMode="auto">
                    <a:xfrm>
                      <a:off x="0" y="0"/>
                      <a:ext cx="1916853" cy="1296863"/>
                    </a:xfrm>
                    <a:prstGeom prst="rect">
                      <a:avLst/>
                    </a:prstGeom>
                    <a:noFill/>
                    <a:ln>
                      <a:noFill/>
                    </a:ln>
                    <a:extLst>
                      <a:ext uri="{53640926-AAD7-44D8-BBD7-CCE9431645EC}">
                        <a14:shadowObscured xmlns:a14="http://schemas.microsoft.com/office/drawing/2010/main"/>
                      </a:ext>
                    </a:extLst>
                  </pic:spPr>
                </pic:pic>
              </a:graphicData>
            </a:graphic>
          </wp:inline>
        </w:drawing>
      </w:r>
    </w:p>
    <w:p w14:paraId="21E711A7" w14:textId="11C9DE4E" w:rsidR="00DB01B7" w:rsidRDefault="00DB01B7" w:rsidP="003E1290">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b/>
          <w:sz w:val="22"/>
          <w:lang w:eastAsia="es-EC"/>
        </w:rPr>
        <w:t>Análisis:</w:t>
      </w:r>
      <w:r w:rsidR="003E1290">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Al igual que con la valoración de caídas, se alcanza un 100.00% de cumplimiento (452 de 452 pacientes). Este resultado refuerza la cultura de cuidado preventivo y de calidad del equipo de enfermería. La consistencia en la aplicación de protocolos de valoración de riesgo es un proceso clave que impacta directamente en la reducción de la morbilidad asociada a las UPP.</w:t>
      </w:r>
    </w:p>
    <w:p w14:paraId="389CF335" w14:textId="74293068"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4</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4</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Identificación Correcta del Paciente</w:t>
      </w:r>
    </w:p>
    <w:p w14:paraId="782B134A"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Mide el porcentaje de procedimientos o interacciones donde se realiza la verificación de la identidad del paciente utilizando los métodos estandarizados (p. ej., manilla y verbal) antes de ejecutar cualquier acción.</w:t>
      </w:r>
    </w:p>
    <w:p w14:paraId="33120491" w14:textId="100D5964"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04AB98E5" wp14:editId="77102A30">
            <wp:extent cx="1807845" cy="1260014"/>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l="7738" r="26786" b="17266"/>
                    <a:stretch/>
                  </pic:blipFill>
                  <pic:spPr bwMode="auto">
                    <a:xfrm>
                      <a:off x="0" y="0"/>
                      <a:ext cx="1811425" cy="1262509"/>
                    </a:xfrm>
                    <a:prstGeom prst="rect">
                      <a:avLst/>
                    </a:prstGeom>
                    <a:noFill/>
                    <a:ln>
                      <a:noFill/>
                    </a:ln>
                    <a:extLst>
                      <a:ext uri="{53640926-AAD7-44D8-BBD7-CCE9431645EC}">
                        <a14:shadowObscured xmlns:a14="http://schemas.microsoft.com/office/drawing/2010/main"/>
                      </a:ext>
                    </a:extLst>
                  </pic:spPr>
                </pic:pic>
              </a:graphicData>
            </a:graphic>
          </wp:inline>
        </w:drawing>
      </w:r>
    </w:p>
    <w:p w14:paraId="5850181E" w14:textId="528F8477" w:rsidR="00DB01B7"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 xml:space="preserve">Con un 88.00% de cumplimiento (176 de 200 observaciones), si bien es un valor alto, el 12% de fallos en este proceso (24 observaciones) constituye un riesgo significativo para la seguridad del paciente. La identificación correcta es una meta internacional de seguridad y </w:t>
      </w:r>
      <w:r w:rsidRPr="003E1290">
        <w:rPr>
          <w:rFonts w:asciiTheme="minorHAnsi" w:eastAsia="Times New Roman" w:hAnsiTheme="minorHAnsi" w:cstheme="minorHAnsi"/>
          <w:sz w:val="22"/>
          <w:lang w:eastAsia="es-EC"/>
        </w:rPr>
        <w:lastRenderedPageBreak/>
        <w:t>su omisión puede derivar en errores de medicación, procedimientos o diagnósticos. Es crucial identificar las barreras que impiden el cumplimiento del 100% y reforzar la supervisión y la estandarización del proceso.</w:t>
      </w:r>
    </w:p>
    <w:p w14:paraId="13BA190F" w14:textId="3B4FD2D2"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5</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5</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Uso Correcto de EPP (Equipo de Protección Personal)</w:t>
      </w:r>
    </w:p>
    <w:p w14:paraId="656005FA"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Este indicador mide el porcentaje de observaciones donde el personal utiliza el EPP adecuado para la tarea que está realizando.</w:t>
      </w:r>
    </w:p>
    <w:p w14:paraId="6891721A" w14:textId="0CF25336"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1F71CFC8" wp14:editId="4EC55BCB">
            <wp:extent cx="1945005" cy="131590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l="7143" r="25992" b="17986"/>
                    <a:stretch/>
                  </pic:blipFill>
                  <pic:spPr bwMode="auto">
                    <a:xfrm>
                      <a:off x="0" y="0"/>
                      <a:ext cx="1946847" cy="1317155"/>
                    </a:xfrm>
                    <a:prstGeom prst="rect">
                      <a:avLst/>
                    </a:prstGeom>
                    <a:noFill/>
                    <a:ln>
                      <a:noFill/>
                    </a:ln>
                    <a:extLst>
                      <a:ext uri="{53640926-AAD7-44D8-BBD7-CCE9431645EC}">
                        <a14:shadowObscured xmlns:a14="http://schemas.microsoft.com/office/drawing/2010/main"/>
                      </a:ext>
                    </a:extLst>
                  </pic:spPr>
                </pic:pic>
              </a:graphicData>
            </a:graphic>
          </wp:inline>
        </w:drawing>
      </w:r>
    </w:p>
    <w:p w14:paraId="2BC0FDCD" w14:textId="3A3EA47B" w:rsidR="00DB01B7"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El porcentaje de 80.91% (89 de 110 observaciones) indica que casi uno de cada cinco actos observados (19.09% o 21 observaciones) presenta un uso incorrecto del EPP. El uso adecuado del EPP es esencial para la bioseguridad del personal y para la prevención de infecciones nosocomiales. Es una dimensión de proceso que requiere corrección inmediata a través de capacitación y recordatorios visuales en el punto de atención.</w:t>
      </w:r>
    </w:p>
    <w:p w14:paraId="25D565F6" w14:textId="364727A9"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6</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6</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Higiene de Manos</w:t>
      </w:r>
    </w:p>
    <w:p w14:paraId="06B54299"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Evalúa el porcentaje de observaciones de cumplimiento de la técnica y momentos adecuados de higiene de manos.</w:t>
      </w:r>
    </w:p>
    <w:p w14:paraId="6AB83562" w14:textId="160915C6"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798D9101" wp14:editId="5C99947A">
            <wp:extent cx="2087880" cy="142467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l="6746" r="25794" b="16547"/>
                    <a:stretch/>
                  </pic:blipFill>
                  <pic:spPr bwMode="auto">
                    <a:xfrm>
                      <a:off x="0" y="0"/>
                      <a:ext cx="2090000" cy="1426119"/>
                    </a:xfrm>
                    <a:prstGeom prst="rect">
                      <a:avLst/>
                    </a:prstGeom>
                    <a:noFill/>
                    <a:ln>
                      <a:noFill/>
                    </a:ln>
                    <a:extLst>
                      <a:ext uri="{53640926-AAD7-44D8-BBD7-CCE9431645EC}">
                        <a14:shadowObscured xmlns:a14="http://schemas.microsoft.com/office/drawing/2010/main"/>
                      </a:ext>
                    </a:extLst>
                  </pic:spPr>
                </pic:pic>
              </a:graphicData>
            </a:graphic>
          </wp:inline>
        </w:drawing>
      </w:r>
    </w:p>
    <w:p w14:paraId="12A9DA61" w14:textId="62111E8B" w:rsidR="00DB01B7"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El resultado del 80.83% (97 de 120 observaciones) muestra una brecha considerable en el proceso clave de control de infecciones. La Organización Mundial de la Salud promueve la higiene de manos como la intervención más efectiva para reducir la transmisión de patógenos, por lo que el 19.17% de incumplimiento (23 observaciones) expone al paciente y al personal a riesgos evitables. Es necesario un plan de acción para acercar este cumplimiento al 100%.</w:t>
      </w:r>
    </w:p>
    <w:p w14:paraId="192B66ED" w14:textId="1929AA1A"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sidRPr="003E1290">
        <w:rPr>
          <w:rFonts w:asciiTheme="minorHAnsi" w:eastAsia="Times New Roman" w:hAnsiTheme="minorHAnsi" w:cstheme="minorHAnsi"/>
          <w:b/>
          <w:bCs/>
          <w:sz w:val="22"/>
          <w:lang w:eastAsia="es-EC"/>
        </w:rPr>
        <w:t>5.2.</w:t>
      </w:r>
      <w:r>
        <w:rPr>
          <w:rFonts w:asciiTheme="minorHAnsi" w:eastAsia="Times New Roman" w:hAnsiTheme="minorHAnsi" w:cstheme="minorHAnsi"/>
          <w:b/>
          <w:bCs/>
          <w:sz w:val="22"/>
          <w:lang w:eastAsia="es-EC"/>
        </w:rPr>
        <w:t>7</w:t>
      </w:r>
      <w:r w:rsidRPr="003E1290">
        <w:rPr>
          <w:rFonts w:asciiTheme="minorHAnsi" w:eastAsia="Times New Roman" w:hAnsiTheme="minorHAnsi" w:cstheme="minorHAnsi"/>
          <w:b/>
          <w:bCs/>
          <w:sz w:val="22"/>
          <w:lang w:eastAsia="es-EC"/>
        </w:rPr>
        <w:t xml:space="preserve"> Indicador P</w:t>
      </w:r>
      <w:r>
        <w:rPr>
          <w:rFonts w:asciiTheme="minorHAnsi" w:eastAsia="Times New Roman" w:hAnsiTheme="minorHAnsi" w:cstheme="minorHAnsi"/>
          <w:b/>
          <w:bCs/>
          <w:sz w:val="22"/>
          <w:vertAlign w:val="subscript"/>
          <w:lang w:eastAsia="es-EC"/>
        </w:rPr>
        <w:t>7</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Administración Correcta de Medicamentos</w:t>
      </w:r>
    </w:p>
    <w:p w14:paraId="3118419A"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Mide el porcentaje de administraciones de medicamentos que cumplen con los "cinco correctos" (paciente, medicamento, dosis, vía y hora correctos).</w:t>
      </w:r>
    </w:p>
    <w:p w14:paraId="4A4DCD36" w14:textId="7784B08C" w:rsidR="00DB576A" w:rsidRPr="003E1290" w:rsidRDefault="00DB576A" w:rsidP="00DB576A">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lastRenderedPageBreak/>
        <w:drawing>
          <wp:inline distT="0" distB="0" distL="0" distR="0" wp14:anchorId="63A62887" wp14:editId="23FE5573">
            <wp:extent cx="1975485" cy="1350708"/>
            <wp:effectExtent l="0" t="0" r="571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l="7143" r="26984" b="18345"/>
                    <a:stretch/>
                  </pic:blipFill>
                  <pic:spPr bwMode="auto">
                    <a:xfrm>
                      <a:off x="0" y="0"/>
                      <a:ext cx="1977287" cy="1351940"/>
                    </a:xfrm>
                    <a:prstGeom prst="rect">
                      <a:avLst/>
                    </a:prstGeom>
                    <a:noFill/>
                    <a:ln>
                      <a:noFill/>
                    </a:ln>
                    <a:extLst>
                      <a:ext uri="{53640926-AAD7-44D8-BBD7-CCE9431645EC}">
                        <a14:shadowObscured xmlns:a14="http://schemas.microsoft.com/office/drawing/2010/main"/>
                      </a:ext>
                    </a:extLst>
                  </pic:spPr>
                </pic:pic>
              </a:graphicData>
            </a:graphic>
          </wp:inline>
        </w:drawing>
      </w:r>
    </w:p>
    <w:p w14:paraId="4059C816" w14:textId="416A3C9F" w:rsidR="00DB01B7" w:rsidRPr="003E1290"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Con un porcentaje de 93.83% (76 de 81 administraciones), este es un proceso que se ejecuta con un alto grado de calidad. La administración correcta de medicamentos es fundamental para la eficacia del tratamiento y la seguridad del paciente. El restante 6.17% de fallos, aunque bajo (5 administraciones), justifica una revisión exhaustiva para comprender las causas de los errores y aplicar medidas que garanticen la perfección en este proceso vital.</w:t>
      </w:r>
    </w:p>
    <w:p w14:paraId="13B46D4F" w14:textId="77777777" w:rsidR="00971F09" w:rsidRPr="003E1290" w:rsidRDefault="00971F09" w:rsidP="00971F09">
      <w:pPr>
        <w:rPr>
          <w:rFonts w:asciiTheme="minorHAnsi" w:eastAsia="Times New Roman" w:hAnsiTheme="minorHAnsi" w:cstheme="minorHAnsi"/>
          <w:sz w:val="22"/>
          <w:lang w:eastAsia="es-EC"/>
        </w:rPr>
      </w:pPr>
    </w:p>
    <w:p w14:paraId="0BD22653" w14:textId="41E8D95C" w:rsidR="00971F09" w:rsidRPr="00971F09" w:rsidRDefault="00971F09" w:rsidP="00971F09">
      <w:pPr>
        <w:pStyle w:val="Ttulo2"/>
        <w:rPr>
          <w:sz w:val="22"/>
          <w:szCs w:val="22"/>
        </w:rPr>
      </w:pPr>
      <w:r w:rsidRPr="00971F09">
        <w:rPr>
          <w:sz w:val="22"/>
          <w:szCs w:val="22"/>
        </w:rPr>
        <w:t>Análisis de indi</w:t>
      </w:r>
      <w:r w:rsidRPr="00971F09">
        <w:rPr>
          <w:sz w:val="22"/>
          <w:szCs w:val="22"/>
        </w:rPr>
        <w:t xml:space="preserve">cadores de </w:t>
      </w:r>
      <w:r w:rsidRPr="00971F09">
        <w:rPr>
          <w:rFonts w:asciiTheme="minorHAnsi" w:hAnsiTheme="minorHAnsi" w:cstheme="minorHAnsi"/>
          <w:sz w:val="22"/>
          <w:szCs w:val="22"/>
        </w:rPr>
        <w:t>Resultados</w:t>
      </w:r>
    </w:p>
    <w:p w14:paraId="43AA780E"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Los indicadores de resultados miden los efectos finales de la atención en la salud de los pacientes, incluyendo el estado de salud, la satisfacción del paciente y los eventos adversos.</w:t>
      </w:r>
    </w:p>
    <w:tbl>
      <w:tblPr>
        <w:tblW w:w="8379" w:type="dxa"/>
        <w:tblInd w:w="55" w:type="dxa"/>
        <w:tblCellMar>
          <w:left w:w="70" w:type="dxa"/>
          <w:right w:w="70" w:type="dxa"/>
        </w:tblCellMar>
        <w:tblLook w:val="04A0" w:firstRow="1" w:lastRow="0" w:firstColumn="1" w:lastColumn="0" w:noHBand="0" w:noVBand="1"/>
      </w:tblPr>
      <w:tblGrid>
        <w:gridCol w:w="3753"/>
        <w:gridCol w:w="1068"/>
        <w:gridCol w:w="1157"/>
        <w:gridCol w:w="1248"/>
        <w:gridCol w:w="1153"/>
      </w:tblGrid>
      <w:tr w:rsidR="00971F09" w:rsidRPr="00971F09" w14:paraId="17E900B0" w14:textId="77777777" w:rsidTr="00971F09">
        <w:trPr>
          <w:trHeight w:val="333"/>
        </w:trPr>
        <w:tc>
          <w:tcPr>
            <w:tcW w:w="3876" w:type="dxa"/>
            <w:tcBorders>
              <w:top w:val="single" w:sz="4" w:space="0" w:color="auto"/>
              <w:bottom w:val="single" w:sz="4" w:space="0" w:color="auto"/>
            </w:tcBorders>
            <w:shd w:val="clear" w:color="auto" w:fill="auto"/>
            <w:vAlign w:val="center"/>
            <w:hideMark/>
          </w:tcPr>
          <w:p w14:paraId="07743754" w14:textId="428F9E24"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Style w:val="nfasis"/>
                <w:rFonts w:asciiTheme="minorHAnsi" w:hAnsiTheme="minorHAnsi" w:cstheme="minorHAnsi"/>
                <w:sz w:val="20"/>
                <w:szCs w:val="20"/>
              </w:rPr>
              <w:t>Indicador</w:t>
            </w:r>
          </w:p>
        </w:tc>
        <w:tc>
          <w:tcPr>
            <w:tcW w:w="1073" w:type="dxa"/>
            <w:tcBorders>
              <w:top w:val="single" w:sz="4" w:space="0" w:color="auto"/>
              <w:bottom w:val="single" w:sz="4" w:space="0" w:color="auto"/>
            </w:tcBorders>
            <w:shd w:val="clear" w:color="auto" w:fill="auto"/>
            <w:vAlign w:val="center"/>
            <w:hideMark/>
          </w:tcPr>
          <w:p w14:paraId="107B437F" w14:textId="535F122E"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Style w:val="nfasis"/>
                <w:rFonts w:asciiTheme="minorHAnsi" w:hAnsiTheme="minorHAnsi" w:cstheme="minorHAnsi"/>
                <w:sz w:val="20"/>
                <w:szCs w:val="20"/>
              </w:rPr>
              <w:t>Tipo</w:t>
            </w:r>
          </w:p>
        </w:tc>
        <w:tc>
          <w:tcPr>
            <w:tcW w:w="1161" w:type="dxa"/>
            <w:tcBorders>
              <w:top w:val="single" w:sz="4" w:space="0" w:color="auto"/>
              <w:bottom w:val="single" w:sz="4" w:space="0" w:color="auto"/>
            </w:tcBorders>
            <w:shd w:val="clear" w:color="auto" w:fill="auto"/>
            <w:vAlign w:val="center"/>
            <w:hideMark/>
          </w:tcPr>
          <w:p w14:paraId="63D91888" w14:textId="733D5D38"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Style w:val="nfasis"/>
                <w:rFonts w:asciiTheme="minorHAnsi" w:hAnsiTheme="minorHAnsi" w:cstheme="minorHAnsi"/>
                <w:sz w:val="20"/>
                <w:szCs w:val="20"/>
              </w:rPr>
              <w:t>Numerador</w:t>
            </w:r>
          </w:p>
        </w:tc>
        <w:tc>
          <w:tcPr>
            <w:tcW w:w="1109" w:type="dxa"/>
            <w:tcBorders>
              <w:top w:val="single" w:sz="4" w:space="0" w:color="auto"/>
              <w:bottom w:val="single" w:sz="4" w:space="0" w:color="auto"/>
            </w:tcBorders>
            <w:shd w:val="clear" w:color="auto" w:fill="auto"/>
            <w:vAlign w:val="center"/>
            <w:hideMark/>
          </w:tcPr>
          <w:p w14:paraId="1A8EF87E" w14:textId="4A233651"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Style w:val="nfasis"/>
                <w:rFonts w:asciiTheme="minorHAnsi" w:hAnsiTheme="minorHAnsi" w:cstheme="minorHAnsi"/>
                <w:sz w:val="20"/>
                <w:szCs w:val="20"/>
              </w:rPr>
              <w:t>Denominador</w:t>
            </w:r>
          </w:p>
        </w:tc>
        <w:tc>
          <w:tcPr>
            <w:tcW w:w="1160" w:type="dxa"/>
            <w:tcBorders>
              <w:top w:val="single" w:sz="4" w:space="0" w:color="auto"/>
              <w:bottom w:val="single" w:sz="4" w:space="0" w:color="auto"/>
            </w:tcBorders>
            <w:shd w:val="clear" w:color="auto" w:fill="auto"/>
            <w:vAlign w:val="center"/>
            <w:hideMark/>
          </w:tcPr>
          <w:p w14:paraId="79DFC081" w14:textId="29C31447"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Style w:val="nfasis"/>
                <w:rFonts w:asciiTheme="minorHAnsi" w:hAnsiTheme="minorHAnsi" w:cstheme="minorHAnsi"/>
                <w:sz w:val="20"/>
                <w:szCs w:val="20"/>
              </w:rPr>
              <w:t>Porcentaje</w:t>
            </w:r>
          </w:p>
        </w:tc>
      </w:tr>
      <w:tr w:rsidR="00971F09" w:rsidRPr="00971F09" w14:paraId="62E2FFCC" w14:textId="77777777" w:rsidTr="00971F09">
        <w:trPr>
          <w:trHeight w:val="333"/>
        </w:trPr>
        <w:tc>
          <w:tcPr>
            <w:tcW w:w="3876" w:type="dxa"/>
            <w:tcBorders>
              <w:top w:val="single" w:sz="4" w:space="0" w:color="auto"/>
            </w:tcBorders>
            <w:shd w:val="clear" w:color="auto" w:fill="auto"/>
            <w:vAlign w:val="center"/>
            <w:hideMark/>
          </w:tcPr>
          <w:p w14:paraId="60CC2219" w14:textId="77777777"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Porcentaje de satisfacción del Usuario</w:t>
            </w:r>
          </w:p>
        </w:tc>
        <w:tc>
          <w:tcPr>
            <w:tcW w:w="1073" w:type="dxa"/>
            <w:tcBorders>
              <w:top w:val="single" w:sz="4" w:space="0" w:color="auto"/>
            </w:tcBorders>
            <w:shd w:val="clear" w:color="auto" w:fill="auto"/>
            <w:vAlign w:val="center"/>
            <w:hideMark/>
          </w:tcPr>
          <w:p w14:paraId="124501D6" w14:textId="77777777"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Resultado</w:t>
            </w:r>
          </w:p>
        </w:tc>
        <w:tc>
          <w:tcPr>
            <w:tcW w:w="1161" w:type="dxa"/>
            <w:tcBorders>
              <w:top w:val="single" w:sz="4" w:space="0" w:color="auto"/>
            </w:tcBorders>
            <w:shd w:val="clear" w:color="auto" w:fill="auto"/>
            <w:vAlign w:val="center"/>
            <w:hideMark/>
          </w:tcPr>
          <w:p w14:paraId="7C641FAB"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496</w:t>
            </w:r>
          </w:p>
        </w:tc>
        <w:tc>
          <w:tcPr>
            <w:tcW w:w="1109" w:type="dxa"/>
            <w:tcBorders>
              <w:top w:val="single" w:sz="4" w:space="0" w:color="auto"/>
            </w:tcBorders>
            <w:shd w:val="clear" w:color="auto" w:fill="auto"/>
            <w:vAlign w:val="center"/>
            <w:hideMark/>
          </w:tcPr>
          <w:p w14:paraId="281FD46A"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580</w:t>
            </w:r>
          </w:p>
        </w:tc>
        <w:tc>
          <w:tcPr>
            <w:tcW w:w="1160" w:type="dxa"/>
            <w:tcBorders>
              <w:top w:val="single" w:sz="4" w:space="0" w:color="auto"/>
            </w:tcBorders>
            <w:shd w:val="clear" w:color="auto" w:fill="auto"/>
            <w:vAlign w:val="center"/>
            <w:hideMark/>
          </w:tcPr>
          <w:p w14:paraId="6824B28F"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85.52</w:t>
            </w:r>
          </w:p>
        </w:tc>
      </w:tr>
      <w:tr w:rsidR="00971F09" w:rsidRPr="00971F09" w14:paraId="24D18BC0" w14:textId="77777777" w:rsidTr="00971F09">
        <w:trPr>
          <w:trHeight w:val="333"/>
        </w:trPr>
        <w:tc>
          <w:tcPr>
            <w:tcW w:w="3876" w:type="dxa"/>
            <w:tcBorders>
              <w:bottom w:val="single" w:sz="4" w:space="0" w:color="auto"/>
            </w:tcBorders>
            <w:shd w:val="clear" w:color="auto" w:fill="auto"/>
            <w:vAlign w:val="center"/>
            <w:hideMark/>
          </w:tcPr>
          <w:p w14:paraId="397C2BDF" w14:textId="77777777"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Porcentaje de cirugías que presentan infecciones</w:t>
            </w:r>
          </w:p>
        </w:tc>
        <w:tc>
          <w:tcPr>
            <w:tcW w:w="1073" w:type="dxa"/>
            <w:tcBorders>
              <w:bottom w:val="single" w:sz="4" w:space="0" w:color="auto"/>
            </w:tcBorders>
            <w:shd w:val="clear" w:color="auto" w:fill="auto"/>
            <w:vAlign w:val="center"/>
            <w:hideMark/>
          </w:tcPr>
          <w:p w14:paraId="6BABE007" w14:textId="77777777" w:rsidR="00971F09" w:rsidRPr="00971F09" w:rsidRDefault="00971F09" w:rsidP="00971F09">
            <w:pPr>
              <w:ind w:firstLine="0"/>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Resultado</w:t>
            </w:r>
          </w:p>
        </w:tc>
        <w:tc>
          <w:tcPr>
            <w:tcW w:w="1161" w:type="dxa"/>
            <w:tcBorders>
              <w:bottom w:val="single" w:sz="4" w:space="0" w:color="auto"/>
            </w:tcBorders>
            <w:shd w:val="clear" w:color="auto" w:fill="auto"/>
            <w:vAlign w:val="center"/>
            <w:hideMark/>
          </w:tcPr>
          <w:p w14:paraId="3BBE5A77"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4</w:t>
            </w:r>
          </w:p>
        </w:tc>
        <w:tc>
          <w:tcPr>
            <w:tcW w:w="1109" w:type="dxa"/>
            <w:tcBorders>
              <w:bottom w:val="single" w:sz="4" w:space="0" w:color="auto"/>
            </w:tcBorders>
            <w:shd w:val="clear" w:color="auto" w:fill="auto"/>
            <w:vAlign w:val="center"/>
            <w:hideMark/>
          </w:tcPr>
          <w:p w14:paraId="10A14CB1"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1085</w:t>
            </w:r>
          </w:p>
        </w:tc>
        <w:tc>
          <w:tcPr>
            <w:tcW w:w="1160" w:type="dxa"/>
            <w:tcBorders>
              <w:bottom w:val="single" w:sz="4" w:space="0" w:color="auto"/>
            </w:tcBorders>
            <w:shd w:val="clear" w:color="auto" w:fill="auto"/>
            <w:vAlign w:val="center"/>
            <w:hideMark/>
          </w:tcPr>
          <w:p w14:paraId="1707E464" w14:textId="77777777" w:rsidR="00971F09" w:rsidRPr="00971F09" w:rsidRDefault="00971F09" w:rsidP="00971F09">
            <w:pPr>
              <w:ind w:firstLine="0"/>
              <w:jc w:val="center"/>
              <w:rPr>
                <w:rFonts w:asciiTheme="minorHAnsi" w:eastAsia="Times New Roman" w:hAnsiTheme="minorHAnsi" w:cstheme="minorHAnsi"/>
                <w:color w:val="000000"/>
                <w:sz w:val="20"/>
                <w:szCs w:val="20"/>
                <w:lang w:eastAsia="es-EC"/>
              </w:rPr>
            </w:pPr>
            <w:r w:rsidRPr="00971F09">
              <w:rPr>
                <w:rFonts w:asciiTheme="minorHAnsi" w:eastAsia="Times New Roman" w:hAnsiTheme="minorHAnsi" w:cstheme="minorHAnsi"/>
                <w:color w:val="000000"/>
                <w:sz w:val="20"/>
                <w:szCs w:val="20"/>
                <w:lang w:eastAsia="es-EC"/>
              </w:rPr>
              <w:t>0.37</w:t>
            </w:r>
          </w:p>
        </w:tc>
      </w:tr>
    </w:tbl>
    <w:p w14:paraId="78FA90DB" w14:textId="347AA3EC"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Pr>
          <w:rFonts w:asciiTheme="minorHAnsi" w:eastAsia="Times New Roman" w:hAnsiTheme="minorHAnsi" w:cstheme="minorHAnsi"/>
          <w:b/>
          <w:bCs/>
          <w:sz w:val="22"/>
          <w:lang w:eastAsia="es-EC"/>
        </w:rPr>
        <w:t>5.3</w:t>
      </w:r>
      <w:r w:rsidRPr="003E1290">
        <w:rPr>
          <w:rFonts w:asciiTheme="minorHAnsi" w:eastAsia="Times New Roman" w:hAnsiTheme="minorHAnsi" w:cstheme="minorHAnsi"/>
          <w:b/>
          <w:bCs/>
          <w:sz w:val="22"/>
          <w:lang w:eastAsia="es-EC"/>
        </w:rPr>
        <w:t xml:space="preserve">.1 Indicador </w:t>
      </w:r>
      <w:r>
        <w:rPr>
          <w:rFonts w:asciiTheme="minorHAnsi" w:eastAsia="Times New Roman" w:hAnsiTheme="minorHAnsi" w:cstheme="minorHAnsi"/>
          <w:b/>
          <w:bCs/>
          <w:sz w:val="22"/>
          <w:lang w:eastAsia="es-EC"/>
        </w:rPr>
        <w:t>R</w:t>
      </w:r>
      <w:r w:rsidRPr="003E1290">
        <w:rPr>
          <w:rFonts w:asciiTheme="minorHAnsi" w:eastAsia="Times New Roman" w:hAnsiTheme="minorHAnsi" w:cstheme="minorHAnsi"/>
          <w:b/>
          <w:bCs/>
          <w:sz w:val="22"/>
          <w:vertAlign w:val="subscript"/>
          <w:lang w:eastAsia="es-EC"/>
        </w:rPr>
        <w:t>1</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Porcentaje de Satisfacción del Usuario</w:t>
      </w:r>
    </w:p>
    <w:p w14:paraId="3F942030"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Este indicador de resultado evalúa la percepción del paciente sobre la atención recibida, a menudo medida mediante encuestas.</w:t>
      </w:r>
    </w:p>
    <w:p w14:paraId="2964C2F2" w14:textId="01C248DE" w:rsidR="00B672FD" w:rsidRPr="003E1290" w:rsidRDefault="00B672FD" w:rsidP="00B672FD">
      <w:pPr>
        <w:spacing w:before="100" w:beforeAutospacing="1" w:after="100" w:afterAutospacing="1"/>
        <w:jc w:val="center"/>
        <w:rPr>
          <w:rFonts w:asciiTheme="minorHAnsi" w:eastAsia="Times New Roman" w:hAnsiTheme="minorHAnsi" w:cstheme="minorHAnsi"/>
          <w:sz w:val="22"/>
          <w:lang w:eastAsia="es-EC"/>
        </w:rPr>
      </w:pPr>
      <w:r>
        <w:rPr>
          <w:rFonts w:asciiTheme="minorHAnsi" w:eastAsia="Times New Roman" w:hAnsiTheme="minorHAnsi" w:cstheme="minorHAnsi"/>
          <w:noProof/>
          <w:sz w:val="22"/>
          <w:lang w:eastAsia="es-EC"/>
        </w:rPr>
        <w:drawing>
          <wp:inline distT="0" distB="0" distL="0" distR="0" wp14:anchorId="3442F090" wp14:editId="54406506">
            <wp:extent cx="1937385" cy="1356762"/>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a:extLst>
                        <a:ext uri="{28A0092B-C50C-407E-A947-70E740481C1C}">
                          <a14:useLocalDpi xmlns:a14="http://schemas.microsoft.com/office/drawing/2010/main" val="0"/>
                        </a:ext>
                      </a:extLst>
                    </a:blip>
                    <a:srcRect l="7539" r="27580" b="17626"/>
                    <a:stretch/>
                  </pic:blipFill>
                  <pic:spPr bwMode="auto">
                    <a:xfrm>
                      <a:off x="0" y="0"/>
                      <a:ext cx="1937385" cy="1356762"/>
                    </a:xfrm>
                    <a:prstGeom prst="rect">
                      <a:avLst/>
                    </a:prstGeom>
                    <a:noFill/>
                    <a:ln>
                      <a:noFill/>
                    </a:ln>
                    <a:extLst>
                      <a:ext uri="{53640926-AAD7-44D8-BBD7-CCE9431645EC}">
                        <a14:shadowObscured xmlns:a14="http://schemas.microsoft.com/office/drawing/2010/main"/>
                      </a:ext>
                    </a:extLst>
                  </pic:spPr>
                </pic:pic>
              </a:graphicData>
            </a:graphic>
          </wp:inline>
        </w:drawing>
      </w:r>
    </w:p>
    <w:p w14:paraId="11CC1605" w14:textId="405D158F" w:rsidR="00DB01B7"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El nivel de satisfacción del usuario alcanza un 85.52% (496 de 580 encuestas). Este es un resultado favorable que refleja una percepción generalmente positiva de la calidad de la atención. Sin embargo, el 14.48% de insatisfacción (84 usuarios) es un área clave para la mejora. La satisfacción del paciente es un reflejo de la calidad interpersonal y puede verse influenciada por procesos como la comunicación y los tiempos de espera. Analizar las causas de la insatisfacción es vital para alinear la atención con las expectativas del paciente.</w:t>
      </w:r>
    </w:p>
    <w:p w14:paraId="5D757BEE" w14:textId="3C584803" w:rsidR="00DB01B7" w:rsidRPr="003E1290" w:rsidRDefault="00971F09" w:rsidP="00971F09">
      <w:pPr>
        <w:spacing w:before="100" w:beforeAutospacing="1" w:after="100" w:afterAutospacing="1"/>
        <w:ind w:firstLine="0"/>
        <w:outlineLvl w:val="2"/>
        <w:rPr>
          <w:rFonts w:asciiTheme="minorHAnsi" w:eastAsia="Times New Roman" w:hAnsiTheme="minorHAnsi" w:cstheme="minorHAnsi"/>
          <w:b/>
          <w:bCs/>
          <w:sz w:val="22"/>
          <w:lang w:eastAsia="es-EC"/>
        </w:rPr>
      </w:pPr>
      <w:r>
        <w:rPr>
          <w:rFonts w:asciiTheme="minorHAnsi" w:eastAsia="Times New Roman" w:hAnsiTheme="minorHAnsi" w:cstheme="minorHAnsi"/>
          <w:b/>
          <w:bCs/>
          <w:sz w:val="22"/>
          <w:lang w:eastAsia="es-EC"/>
        </w:rPr>
        <w:t>5.3</w:t>
      </w:r>
      <w:r w:rsidRPr="003E1290">
        <w:rPr>
          <w:rFonts w:asciiTheme="minorHAnsi" w:eastAsia="Times New Roman" w:hAnsiTheme="minorHAnsi" w:cstheme="minorHAnsi"/>
          <w:b/>
          <w:bCs/>
          <w:sz w:val="22"/>
          <w:lang w:eastAsia="es-EC"/>
        </w:rPr>
        <w:t>.</w:t>
      </w:r>
      <w:r>
        <w:rPr>
          <w:rFonts w:asciiTheme="minorHAnsi" w:eastAsia="Times New Roman" w:hAnsiTheme="minorHAnsi" w:cstheme="minorHAnsi"/>
          <w:b/>
          <w:bCs/>
          <w:sz w:val="22"/>
          <w:lang w:eastAsia="es-EC"/>
        </w:rPr>
        <w:t>2</w:t>
      </w:r>
      <w:r w:rsidRPr="003E1290">
        <w:rPr>
          <w:rFonts w:asciiTheme="minorHAnsi" w:eastAsia="Times New Roman" w:hAnsiTheme="minorHAnsi" w:cstheme="minorHAnsi"/>
          <w:b/>
          <w:bCs/>
          <w:sz w:val="22"/>
          <w:lang w:eastAsia="es-EC"/>
        </w:rPr>
        <w:t xml:space="preserve"> Indicador </w:t>
      </w:r>
      <w:r>
        <w:rPr>
          <w:rFonts w:asciiTheme="minorHAnsi" w:eastAsia="Times New Roman" w:hAnsiTheme="minorHAnsi" w:cstheme="minorHAnsi"/>
          <w:b/>
          <w:bCs/>
          <w:sz w:val="22"/>
          <w:lang w:eastAsia="es-EC"/>
        </w:rPr>
        <w:t>R</w:t>
      </w:r>
      <w:r>
        <w:rPr>
          <w:rFonts w:asciiTheme="minorHAnsi" w:eastAsia="Times New Roman" w:hAnsiTheme="minorHAnsi" w:cstheme="minorHAnsi"/>
          <w:b/>
          <w:bCs/>
          <w:sz w:val="22"/>
          <w:vertAlign w:val="subscript"/>
          <w:lang w:eastAsia="es-EC"/>
        </w:rPr>
        <w:t>2</w:t>
      </w:r>
      <w:r w:rsidRPr="003E1290">
        <w:rPr>
          <w:rFonts w:asciiTheme="minorHAnsi" w:eastAsia="Times New Roman" w:hAnsiTheme="minorHAnsi" w:cstheme="minorHAnsi"/>
          <w:b/>
          <w:bCs/>
          <w:sz w:val="22"/>
          <w:lang w:eastAsia="es-EC"/>
        </w:rPr>
        <w:t xml:space="preserve">: </w:t>
      </w:r>
      <w:r w:rsidR="00DB01B7" w:rsidRPr="003E1290">
        <w:rPr>
          <w:rFonts w:asciiTheme="minorHAnsi" w:eastAsia="Times New Roman" w:hAnsiTheme="minorHAnsi" w:cstheme="minorHAnsi"/>
          <w:b/>
          <w:bCs/>
          <w:sz w:val="22"/>
          <w:lang w:eastAsia="es-EC"/>
        </w:rPr>
        <w:t>Porcentaje de Cirugías que Presentan Infecciones</w:t>
      </w:r>
    </w:p>
    <w:p w14:paraId="7F20498D"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lastRenderedPageBreak/>
        <w:t>Mide la tasa de infecciones nosocomiales asociadas a procedimientos quirúrgicos, un evento adverso de alto impacto.</w:t>
      </w:r>
    </w:p>
    <w:p w14:paraId="4570804E" w14:textId="2A67EF08" w:rsidR="00B672FD" w:rsidRPr="003E1290" w:rsidRDefault="00B672FD" w:rsidP="00B672FD">
      <w:pPr>
        <w:spacing w:before="100" w:beforeAutospacing="1" w:after="100" w:afterAutospacing="1"/>
        <w:jc w:val="center"/>
        <w:rPr>
          <w:rFonts w:asciiTheme="minorHAnsi" w:eastAsia="Times New Roman" w:hAnsiTheme="minorHAnsi" w:cstheme="minorHAnsi"/>
          <w:sz w:val="22"/>
          <w:lang w:eastAsia="es-EC"/>
        </w:rPr>
      </w:pPr>
      <w:bookmarkStart w:id="3" w:name="_GoBack"/>
      <w:r>
        <w:rPr>
          <w:rFonts w:asciiTheme="minorHAnsi" w:eastAsia="Times New Roman" w:hAnsiTheme="minorHAnsi" w:cstheme="minorHAnsi"/>
          <w:noProof/>
          <w:sz w:val="22"/>
          <w:lang w:eastAsia="es-EC"/>
        </w:rPr>
        <w:drawing>
          <wp:inline distT="0" distB="0" distL="0" distR="0" wp14:anchorId="71E5360D" wp14:editId="7EB5BC44">
            <wp:extent cx="2130077" cy="140970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a:extLst>
                        <a:ext uri="{28A0092B-C50C-407E-A947-70E740481C1C}">
                          <a14:useLocalDpi xmlns:a14="http://schemas.microsoft.com/office/drawing/2010/main" val="0"/>
                        </a:ext>
                      </a:extLst>
                    </a:blip>
                    <a:srcRect l="6349" r="25595" b="18345"/>
                    <a:stretch/>
                  </pic:blipFill>
                  <pic:spPr bwMode="auto">
                    <a:xfrm>
                      <a:off x="0" y="0"/>
                      <a:ext cx="2132296" cy="1411168"/>
                    </a:xfrm>
                    <a:prstGeom prst="rect">
                      <a:avLst/>
                    </a:prstGeom>
                    <a:noFill/>
                    <a:ln>
                      <a:noFill/>
                    </a:ln>
                    <a:extLst>
                      <a:ext uri="{53640926-AAD7-44D8-BBD7-CCE9431645EC}">
                        <a14:shadowObscured xmlns:a14="http://schemas.microsoft.com/office/drawing/2010/main"/>
                      </a:ext>
                    </a:extLst>
                  </pic:spPr>
                </pic:pic>
              </a:graphicData>
            </a:graphic>
          </wp:inline>
        </w:drawing>
      </w:r>
      <w:bookmarkEnd w:id="3"/>
    </w:p>
    <w:p w14:paraId="232086EF" w14:textId="23C9AAF4" w:rsidR="00DB01B7" w:rsidRPr="003E1290"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
          <w:sz w:val="22"/>
          <w:lang w:eastAsia="es-EC"/>
        </w:rPr>
        <w:t>Análisis:</w:t>
      </w:r>
      <w:r w:rsidR="00971F09">
        <w:rPr>
          <w:rFonts w:asciiTheme="minorHAnsi" w:eastAsia="Times New Roman" w:hAnsiTheme="minorHAnsi" w:cstheme="minorHAnsi"/>
          <w:sz w:val="22"/>
          <w:lang w:eastAsia="es-EC"/>
        </w:rPr>
        <w:t xml:space="preserve"> </w:t>
      </w:r>
      <w:r w:rsidRPr="003E1290">
        <w:rPr>
          <w:rFonts w:asciiTheme="minorHAnsi" w:eastAsia="Times New Roman" w:hAnsiTheme="minorHAnsi" w:cstheme="minorHAnsi"/>
          <w:sz w:val="22"/>
          <w:lang w:eastAsia="es-EC"/>
        </w:rPr>
        <w:t>El porcentaje de cirugías que presentan infecciones es de 0.37% (4 casos de 1085 cirugías). Este bajo índice es un resultado altamente positivo, evidenciando la efectividad de los procesos de control de infecciones y esterilización en el quirófano, así como el cumplimiento de protocolos pre y postoperatorios. Un resultado tan bajo sugiere que las estructuras y procesos relacionados con la prevención de infecciones son eficientes, contribuyendo directamente a la seguridad del paciente y la disminución de la morbilidad.</w:t>
      </w:r>
    </w:p>
    <w:p w14:paraId="4542720B" w14:textId="72C05CE0" w:rsidR="00DB01B7" w:rsidRPr="003E1290" w:rsidRDefault="00DB01B7" w:rsidP="00B672FD">
      <w:pPr>
        <w:pStyle w:val="Ttulo1"/>
        <w:rPr>
          <w:rFonts w:asciiTheme="minorHAnsi" w:hAnsiTheme="minorHAnsi" w:cstheme="minorHAnsi"/>
          <w:b w:val="0"/>
          <w:bCs w:val="0"/>
          <w:sz w:val="22"/>
          <w:lang w:eastAsia="es-EC"/>
        </w:rPr>
      </w:pPr>
      <w:proofErr w:type="spellStart"/>
      <w:r w:rsidRPr="003E1290">
        <w:rPr>
          <w:rFonts w:asciiTheme="minorHAnsi" w:hAnsiTheme="minorHAnsi" w:cstheme="minorHAnsi"/>
          <w:sz w:val="22"/>
          <w:lang w:eastAsia="es-EC"/>
        </w:rPr>
        <w:t>Conclusiones</w:t>
      </w:r>
      <w:proofErr w:type="spellEnd"/>
      <w:r w:rsidRPr="003E1290">
        <w:rPr>
          <w:rFonts w:asciiTheme="minorHAnsi" w:hAnsiTheme="minorHAnsi" w:cstheme="minorHAnsi"/>
          <w:sz w:val="22"/>
          <w:lang w:eastAsia="es-EC"/>
        </w:rPr>
        <w:t xml:space="preserve"> </w:t>
      </w:r>
      <w:proofErr w:type="gramStart"/>
      <w:r w:rsidRPr="003E1290">
        <w:rPr>
          <w:rFonts w:asciiTheme="minorHAnsi" w:hAnsiTheme="minorHAnsi" w:cstheme="minorHAnsi"/>
          <w:sz w:val="22"/>
          <w:lang w:eastAsia="es-EC"/>
        </w:rPr>
        <w:t>del</w:t>
      </w:r>
      <w:proofErr w:type="gramEnd"/>
      <w:r w:rsidRPr="003E1290">
        <w:rPr>
          <w:rFonts w:asciiTheme="minorHAnsi" w:hAnsiTheme="minorHAnsi" w:cstheme="minorHAnsi"/>
          <w:sz w:val="22"/>
          <w:lang w:eastAsia="es-EC"/>
        </w:rPr>
        <w:t xml:space="preserve"> </w:t>
      </w:r>
      <w:proofErr w:type="spellStart"/>
      <w:r w:rsidRPr="003E1290">
        <w:rPr>
          <w:rFonts w:asciiTheme="minorHAnsi" w:hAnsiTheme="minorHAnsi" w:cstheme="minorHAnsi"/>
          <w:sz w:val="22"/>
          <w:lang w:eastAsia="es-EC"/>
        </w:rPr>
        <w:t>Estudio</w:t>
      </w:r>
      <w:proofErr w:type="spellEnd"/>
      <w:r w:rsidRPr="003E1290">
        <w:rPr>
          <w:rFonts w:asciiTheme="minorHAnsi" w:hAnsiTheme="minorHAnsi" w:cstheme="minorHAnsi"/>
          <w:sz w:val="22"/>
          <w:lang w:eastAsia="es-EC"/>
        </w:rPr>
        <w:t xml:space="preserve"> de Indicadores de Calidad de Enfermería</w:t>
      </w:r>
    </w:p>
    <w:p w14:paraId="211DEEB5" w14:textId="77777777" w:rsidR="00DB01B7" w:rsidRDefault="00DB01B7" w:rsidP="00DB01B7">
      <w:pPr>
        <w:spacing w:before="100" w:beforeAutospacing="1" w:after="100" w:afterAutospacing="1"/>
        <w:rPr>
          <w:rFonts w:asciiTheme="minorHAnsi" w:eastAsia="Times New Roman" w:hAnsiTheme="minorHAnsi" w:cstheme="minorHAnsi"/>
          <w:sz w:val="22"/>
          <w:lang w:eastAsia="es-EC"/>
        </w:rPr>
      </w:pPr>
      <w:r w:rsidRPr="003E1290">
        <w:rPr>
          <w:rFonts w:asciiTheme="minorHAnsi" w:eastAsia="Times New Roman" w:hAnsiTheme="minorHAnsi" w:cstheme="minorHAnsi"/>
          <w:sz w:val="22"/>
          <w:lang w:eastAsia="es-EC"/>
        </w:rPr>
        <w:t xml:space="preserve">El análisis de los indicadores de Estructura, Proceso y Resultado, basado en el Modelo de </w:t>
      </w:r>
      <w:proofErr w:type="spellStart"/>
      <w:r w:rsidRPr="003E1290">
        <w:rPr>
          <w:rFonts w:asciiTheme="minorHAnsi" w:eastAsia="Times New Roman" w:hAnsiTheme="minorHAnsi" w:cstheme="minorHAnsi"/>
          <w:sz w:val="22"/>
          <w:lang w:eastAsia="es-EC"/>
        </w:rPr>
        <w:t>Avedis</w:t>
      </w:r>
      <w:proofErr w:type="spellEnd"/>
      <w:r w:rsidRPr="003E1290">
        <w:rPr>
          <w:rFonts w:asciiTheme="minorHAnsi" w:eastAsia="Times New Roman" w:hAnsiTheme="minorHAnsi" w:cstheme="minorHAnsi"/>
          <w:sz w:val="22"/>
          <w:lang w:eastAsia="es-EC"/>
        </w:rPr>
        <w:t xml:space="preserve"> </w:t>
      </w:r>
      <w:proofErr w:type="spellStart"/>
      <w:r w:rsidRPr="003E1290">
        <w:rPr>
          <w:rFonts w:asciiTheme="minorHAnsi" w:eastAsia="Times New Roman" w:hAnsiTheme="minorHAnsi" w:cstheme="minorHAnsi"/>
          <w:sz w:val="22"/>
          <w:lang w:eastAsia="es-EC"/>
        </w:rPr>
        <w:t>Donabedian</w:t>
      </w:r>
      <w:proofErr w:type="spellEnd"/>
      <w:r w:rsidRPr="003E1290">
        <w:rPr>
          <w:rFonts w:asciiTheme="minorHAnsi" w:eastAsia="Times New Roman" w:hAnsiTheme="minorHAnsi" w:cstheme="minorHAnsi"/>
          <w:sz w:val="22"/>
          <w:lang w:eastAsia="es-EC"/>
        </w:rPr>
        <w:t xml:space="preserve"> y los datos de mayo de 2025, permite establecer conclusiones claras sobre la calidad del servicio de enfermería en el área de emergencia del Hospital General del Norte de Guayaquil, Los Ceibos.</w:t>
      </w:r>
    </w:p>
    <w:p w14:paraId="145B6003" w14:textId="19E23A5C" w:rsidR="00DB01B7" w:rsidRPr="00B672FD" w:rsidRDefault="00DB01B7" w:rsidP="00B672FD">
      <w:pPr>
        <w:pStyle w:val="Ttulo2"/>
        <w:rPr>
          <w:rFonts w:asciiTheme="minorHAnsi" w:hAnsiTheme="minorHAnsi" w:cstheme="minorHAnsi"/>
          <w:sz w:val="22"/>
          <w:szCs w:val="22"/>
        </w:rPr>
      </w:pPr>
      <w:r w:rsidRPr="00B672FD">
        <w:rPr>
          <w:rFonts w:asciiTheme="minorHAnsi" w:eastAsia="Times New Roman" w:hAnsiTheme="minorHAnsi" w:cstheme="minorHAnsi"/>
          <w:bCs/>
          <w:sz w:val="22"/>
          <w:lang w:eastAsia="es-EC"/>
        </w:rPr>
        <w:t>Conclusiones de Estructura</w:t>
      </w:r>
    </w:p>
    <w:p w14:paraId="107F06CB" w14:textId="3425075E" w:rsidR="00DB01B7" w:rsidRPr="00971F09" w:rsidRDefault="00DB01B7" w:rsidP="00971F09">
      <w:pPr>
        <w:numPr>
          <w:ilvl w:val="0"/>
          <w:numId w:val="37"/>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Fortaleza en Competencia Técnica Específica:</w:t>
      </w:r>
      <w:r w:rsidRPr="00971F09">
        <w:rPr>
          <w:rFonts w:asciiTheme="minorHAnsi" w:eastAsia="Times New Roman" w:hAnsiTheme="minorHAnsi" w:cstheme="minorHAnsi"/>
          <w:sz w:val="22"/>
          <w:lang w:eastAsia="es-EC"/>
        </w:rPr>
        <w:t xml:space="preserve"> Existe una </w:t>
      </w:r>
      <w:r w:rsidRPr="00971F09">
        <w:rPr>
          <w:rFonts w:asciiTheme="minorHAnsi" w:eastAsia="Times New Roman" w:hAnsiTheme="minorHAnsi" w:cstheme="minorHAnsi"/>
          <w:bCs/>
          <w:sz w:val="22"/>
          <w:lang w:eastAsia="es-EC"/>
        </w:rPr>
        <w:t>excelente fortaleza estructural</w:t>
      </w:r>
      <w:r w:rsidRPr="00971F09">
        <w:rPr>
          <w:rFonts w:asciiTheme="minorHAnsi" w:eastAsia="Times New Roman" w:hAnsiTheme="minorHAnsi" w:cstheme="minorHAnsi"/>
          <w:sz w:val="22"/>
          <w:lang w:eastAsia="es-EC"/>
        </w:rPr>
        <w:t xml:space="preserve"> en el conocimiento del personal de enfermería respecto al manejo de </w:t>
      </w:r>
      <w:r w:rsidR="00B672FD">
        <w:rPr>
          <w:rFonts w:asciiTheme="minorHAnsi" w:eastAsia="Times New Roman" w:hAnsiTheme="minorHAnsi" w:cstheme="minorHAnsi"/>
          <w:sz w:val="22"/>
          <w:lang w:eastAsia="es-EC"/>
        </w:rPr>
        <w:t>equipos críticos</w:t>
      </w:r>
      <w:r w:rsidRPr="00971F09">
        <w:rPr>
          <w:rFonts w:asciiTheme="minorHAnsi" w:eastAsia="Times New Roman" w:hAnsiTheme="minorHAnsi" w:cstheme="minorHAnsi"/>
          <w:sz w:val="22"/>
          <w:lang w:eastAsia="es-EC"/>
        </w:rPr>
        <w:t xml:space="preserve">, lo que asegura la </w:t>
      </w:r>
      <w:r w:rsidRPr="00971F09">
        <w:rPr>
          <w:rFonts w:asciiTheme="minorHAnsi" w:eastAsia="Times New Roman" w:hAnsiTheme="minorHAnsi" w:cstheme="minorHAnsi"/>
          <w:bCs/>
          <w:sz w:val="22"/>
          <w:lang w:eastAsia="es-EC"/>
        </w:rPr>
        <w:t>precisión y seguridad</w:t>
      </w:r>
      <w:r w:rsidRPr="00971F09">
        <w:rPr>
          <w:rFonts w:asciiTheme="minorHAnsi" w:eastAsia="Times New Roman" w:hAnsiTheme="minorHAnsi" w:cstheme="minorHAnsi"/>
          <w:sz w:val="22"/>
          <w:lang w:eastAsia="es-EC"/>
        </w:rPr>
        <w:t xml:space="preserve"> en la administración de terapias intravenosas complejas.</w:t>
      </w:r>
    </w:p>
    <w:p w14:paraId="743459F5" w14:textId="5826D6AD" w:rsidR="00DB01B7" w:rsidRPr="00971F09" w:rsidRDefault="00DB01B7" w:rsidP="00971F09">
      <w:pPr>
        <w:numPr>
          <w:ilvl w:val="0"/>
          <w:numId w:val="37"/>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Debilidad Crítica en Especialización de Recursos Humanos:</w:t>
      </w:r>
      <w:r w:rsidRPr="00971F09">
        <w:rPr>
          <w:rFonts w:asciiTheme="minorHAnsi" w:eastAsia="Times New Roman" w:hAnsiTheme="minorHAnsi" w:cstheme="minorHAnsi"/>
          <w:sz w:val="22"/>
          <w:lang w:eastAsia="es-EC"/>
        </w:rPr>
        <w:t xml:space="preserve"> La </w:t>
      </w:r>
      <w:r w:rsidRPr="00971F09">
        <w:rPr>
          <w:rFonts w:asciiTheme="minorHAnsi" w:eastAsia="Times New Roman" w:hAnsiTheme="minorHAnsi" w:cstheme="minorHAnsi"/>
          <w:bCs/>
          <w:sz w:val="22"/>
          <w:lang w:eastAsia="es-EC"/>
        </w:rPr>
        <w:t>proporción de personal de enfermería</w:t>
      </w:r>
      <w:r w:rsidR="00B672FD">
        <w:rPr>
          <w:rFonts w:asciiTheme="minorHAnsi" w:eastAsia="Times New Roman" w:hAnsiTheme="minorHAnsi" w:cstheme="minorHAnsi"/>
          <w:bCs/>
          <w:sz w:val="22"/>
          <w:lang w:eastAsia="es-EC"/>
        </w:rPr>
        <w:t xml:space="preserve"> especializado en emergencias</w:t>
      </w:r>
      <w:r w:rsidRPr="00971F09">
        <w:rPr>
          <w:rFonts w:asciiTheme="minorHAnsi" w:eastAsia="Times New Roman" w:hAnsiTheme="minorHAnsi" w:cstheme="minorHAnsi"/>
          <w:bCs/>
          <w:sz w:val="22"/>
          <w:lang w:eastAsia="es-EC"/>
        </w:rPr>
        <w:t xml:space="preserve"> es críticamente baja</w:t>
      </w:r>
      <w:r w:rsidRPr="00971F09">
        <w:rPr>
          <w:rFonts w:asciiTheme="minorHAnsi" w:eastAsia="Times New Roman" w:hAnsiTheme="minorHAnsi" w:cstheme="minorHAnsi"/>
          <w:sz w:val="22"/>
          <w:lang w:eastAsia="es-EC"/>
        </w:rPr>
        <w:t>. Esta deficiencia estructural compromete la calidad técnica y la agilidad requerida en un área de alta complejidad, sugiriendo una necesidad imperante de inversión en capacitación especializada o contratación.</w:t>
      </w:r>
    </w:p>
    <w:p w14:paraId="176BFF65" w14:textId="6005EFCD" w:rsidR="00DB01B7" w:rsidRDefault="00DB01B7" w:rsidP="00971F09">
      <w:pPr>
        <w:numPr>
          <w:ilvl w:val="0"/>
          <w:numId w:val="37"/>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Alta Disponibilidad Farmacológica:</w:t>
      </w:r>
      <w:r w:rsidRPr="00971F09">
        <w:rPr>
          <w:rFonts w:asciiTheme="minorHAnsi" w:eastAsia="Times New Roman" w:hAnsiTheme="minorHAnsi" w:cstheme="minorHAnsi"/>
          <w:sz w:val="22"/>
          <w:lang w:eastAsia="es-EC"/>
        </w:rPr>
        <w:t xml:space="preserve"> La disponibilid</w:t>
      </w:r>
      <w:r w:rsidR="00B672FD">
        <w:rPr>
          <w:rFonts w:asciiTheme="minorHAnsi" w:eastAsia="Times New Roman" w:hAnsiTheme="minorHAnsi" w:cstheme="minorHAnsi"/>
          <w:sz w:val="22"/>
          <w:lang w:eastAsia="es-EC"/>
        </w:rPr>
        <w:t>ad de medicamentos esenciales</w:t>
      </w:r>
      <w:r w:rsidRPr="00971F09">
        <w:rPr>
          <w:rFonts w:asciiTheme="minorHAnsi" w:eastAsia="Times New Roman" w:hAnsiTheme="minorHAnsi" w:cstheme="minorHAnsi"/>
          <w:sz w:val="22"/>
          <w:lang w:eastAsia="es-EC"/>
        </w:rPr>
        <w:t xml:space="preserve"> es alta, aunque el de indisponibilidad remanente debe ser corregido para asegurar que la </w:t>
      </w:r>
      <w:r w:rsidRPr="00971F09">
        <w:rPr>
          <w:rFonts w:asciiTheme="minorHAnsi" w:eastAsia="Times New Roman" w:hAnsiTheme="minorHAnsi" w:cstheme="minorHAnsi"/>
          <w:bCs/>
          <w:sz w:val="22"/>
          <w:lang w:eastAsia="es-EC"/>
        </w:rPr>
        <w:t>estructura material</w:t>
      </w:r>
      <w:r w:rsidRPr="00971F09">
        <w:rPr>
          <w:rFonts w:asciiTheme="minorHAnsi" w:eastAsia="Times New Roman" w:hAnsiTheme="minorHAnsi" w:cstheme="minorHAnsi"/>
          <w:sz w:val="22"/>
          <w:lang w:eastAsia="es-EC"/>
        </w:rPr>
        <w:t xml:space="preserve"> no limite el inicio inmediato de tratamientos vitales.</w:t>
      </w:r>
    </w:p>
    <w:p w14:paraId="2531950B" w14:textId="01F30783" w:rsidR="00DB01B7" w:rsidRPr="00B672FD" w:rsidRDefault="00B672FD" w:rsidP="00B672FD">
      <w:pPr>
        <w:pStyle w:val="Ttulo2"/>
        <w:rPr>
          <w:rFonts w:asciiTheme="minorHAnsi" w:eastAsia="Times New Roman" w:hAnsiTheme="minorHAnsi" w:cstheme="minorHAnsi"/>
          <w:b w:val="0"/>
          <w:bCs/>
          <w:sz w:val="22"/>
          <w:lang w:eastAsia="es-EC"/>
        </w:rPr>
      </w:pPr>
      <w:r>
        <w:rPr>
          <w:rFonts w:asciiTheme="minorHAnsi" w:eastAsia="Times New Roman" w:hAnsiTheme="minorHAnsi" w:cstheme="minorHAnsi"/>
          <w:bCs/>
          <w:sz w:val="22"/>
          <w:lang w:eastAsia="es-EC"/>
        </w:rPr>
        <w:t xml:space="preserve">Conclusiones de </w:t>
      </w:r>
      <w:r w:rsidR="00DB01B7" w:rsidRPr="00B672FD">
        <w:rPr>
          <w:rFonts w:asciiTheme="minorHAnsi" w:eastAsia="Times New Roman" w:hAnsiTheme="minorHAnsi" w:cstheme="minorHAnsi"/>
          <w:bCs/>
          <w:sz w:val="22"/>
          <w:lang w:eastAsia="es-EC"/>
        </w:rPr>
        <w:t>Proceso</w:t>
      </w:r>
      <w:r>
        <w:rPr>
          <w:rFonts w:asciiTheme="minorHAnsi" w:eastAsia="Times New Roman" w:hAnsiTheme="minorHAnsi" w:cstheme="minorHAnsi"/>
          <w:bCs/>
          <w:sz w:val="22"/>
          <w:lang w:eastAsia="es-EC"/>
        </w:rPr>
        <w:t>s</w:t>
      </w:r>
    </w:p>
    <w:p w14:paraId="7A2F882E" w14:textId="12CECAE0" w:rsidR="00DB01B7" w:rsidRPr="00971F09" w:rsidRDefault="00DB01B7" w:rsidP="00971F09">
      <w:pPr>
        <w:numPr>
          <w:ilvl w:val="0"/>
          <w:numId w:val="38"/>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Excelencia en Procesos de Seguridad Preventiva:</w:t>
      </w:r>
      <w:r w:rsidRPr="00971F09">
        <w:rPr>
          <w:rFonts w:asciiTheme="minorHAnsi" w:eastAsia="Times New Roman" w:hAnsiTheme="minorHAnsi" w:cstheme="minorHAnsi"/>
          <w:sz w:val="22"/>
          <w:lang w:eastAsia="es-EC"/>
        </w:rPr>
        <w:t xml:space="preserve"> Se observa una </w:t>
      </w:r>
      <w:r w:rsidR="00B672FD">
        <w:rPr>
          <w:rFonts w:asciiTheme="minorHAnsi" w:eastAsia="Times New Roman" w:hAnsiTheme="minorHAnsi" w:cstheme="minorHAnsi"/>
          <w:bCs/>
          <w:sz w:val="22"/>
          <w:lang w:eastAsia="es-EC"/>
        </w:rPr>
        <w:t>adherencia completa</w:t>
      </w:r>
      <w:r w:rsidRPr="00971F09">
        <w:rPr>
          <w:rFonts w:asciiTheme="minorHAnsi" w:eastAsia="Times New Roman" w:hAnsiTheme="minorHAnsi" w:cstheme="minorHAnsi"/>
          <w:sz w:val="22"/>
          <w:lang w:eastAsia="es-EC"/>
        </w:rPr>
        <w:t xml:space="preserve"> a protocolos clave de seguridad, como la valoración de riesgo de caídas y úlceras por presión, lo que indica un </w:t>
      </w:r>
      <w:r w:rsidRPr="00971F09">
        <w:rPr>
          <w:rFonts w:asciiTheme="minorHAnsi" w:eastAsia="Times New Roman" w:hAnsiTheme="minorHAnsi" w:cstheme="minorHAnsi"/>
          <w:bCs/>
          <w:sz w:val="22"/>
          <w:lang w:eastAsia="es-EC"/>
        </w:rPr>
        <w:t>proceso estandarizado y efectivo</w:t>
      </w:r>
      <w:r w:rsidRPr="00971F09">
        <w:rPr>
          <w:rFonts w:asciiTheme="minorHAnsi" w:eastAsia="Times New Roman" w:hAnsiTheme="minorHAnsi" w:cstheme="minorHAnsi"/>
          <w:sz w:val="22"/>
          <w:lang w:eastAsia="es-EC"/>
        </w:rPr>
        <w:t xml:space="preserve"> en la prevención de eventos adversos comunes.</w:t>
      </w:r>
    </w:p>
    <w:p w14:paraId="0C884DF7" w14:textId="6395104C" w:rsidR="00DB01B7" w:rsidRPr="00971F09" w:rsidRDefault="00DB01B7" w:rsidP="00971F09">
      <w:pPr>
        <w:numPr>
          <w:ilvl w:val="0"/>
          <w:numId w:val="38"/>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Riesgos latentes en Control de Infecciones y Seguridad Primaria:</w:t>
      </w:r>
      <w:r w:rsidRPr="00971F09">
        <w:rPr>
          <w:rFonts w:asciiTheme="minorHAnsi" w:eastAsia="Times New Roman" w:hAnsiTheme="minorHAnsi" w:cstheme="minorHAnsi"/>
          <w:sz w:val="22"/>
          <w:lang w:eastAsia="es-EC"/>
        </w:rPr>
        <w:t xml:space="preserve"> Los indicadores de </w:t>
      </w:r>
      <w:r w:rsidR="00B672FD">
        <w:rPr>
          <w:rFonts w:asciiTheme="minorHAnsi" w:eastAsia="Times New Roman" w:hAnsiTheme="minorHAnsi" w:cstheme="minorHAnsi"/>
          <w:bCs/>
          <w:sz w:val="22"/>
          <w:lang w:eastAsia="es-EC"/>
        </w:rPr>
        <w:t>Higiene de Manos</w:t>
      </w:r>
      <w:r w:rsidRPr="00971F09">
        <w:rPr>
          <w:rFonts w:asciiTheme="minorHAnsi" w:eastAsia="Times New Roman" w:hAnsiTheme="minorHAnsi" w:cstheme="minorHAnsi"/>
          <w:sz w:val="22"/>
          <w:lang w:eastAsia="es-EC"/>
        </w:rPr>
        <w:t xml:space="preserve"> y </w:t>
      </w:r>
      <w:r w:rsidR="00B672FD">
        <w:rPr>
          <w:rFonts w:asciiTheme="minorHAnsi" w:eastAsia="Times New Roman" w:hAnsiTheme="minorHAnsi" w:cstheme="minorHAnsi"/>
          <w:bCs/>
          <w:sz w:val="22"/>
          <w:lang w:eastAsia="es-EC"/>
        </w:rPr>
        <w:t>Uso Correcto de EPP</w:t>
      </w:r>
      <w:r w:rsidRPr="00971F09">
        <w:rPr>
          <w:rFonts w:asciiTheme="minorHAnsi" w:eastAsia="Times New Roman" w:hAnsiTheme="minorHAnsi" w:cstheme="minorHAnsi"/>
          <w:sz w:val="22"/>
          <w:lang w:eastAsia="es-EC"/>
        </w:rPr>
        <w:t xml:space="preserve"> son </w:t>
      </w:r>
      <w:proofErr w:type="spellStart"/>
      <w:r w:rsidRPr="00971F09">
        <w:rPr>
          <w:rFonts w:asciiTheme="minorHAnsi" w:eastAsia="Times New Roman" w:hAnsiTheme="minorHAnsi" w:cstheme="minorHAnsi"/>
          <w:sz w:val="22"/>
          <w:lang w:eastAsia="es-EC"/>
        </w:rPr>
        <w:t>subóptimos</w:t>
      </w:r>
      <w:proofErr w:type="spellEnd"/>
      <w:r w:rsidRPr="00971F09">
        <w:rPr>
          <w:rFonts w:asciiTheme="minorHAnsi" w:eastAsia="Times New Roman" w:hAnsiTheme="minorHAnsi" w:cstheme="minorHAnsi"/>
          <w:sz w:val="22"/>
          <w:lang w:eastAsia="es-EC"/>
        </w:rPr>
        <w:t xml:space="preserve">. El incumplimiento cercano al en estas áreas representa una </w:t>
      </w:r>
      <w:r w:rsidRPr="00971F09">
        <w:rPr>
          <w:rFonts w:asciiTheme="minorHAnsi" w:eastAsia="Times New Roman" w:hAnsiTheme="minorHAnsi" w:cstheme="minorHAnsi"/>
          <w:bCs/>
          <w:sz w:val="22"/>
          <w:lang w:eastAsia="es-EC"/>
        </w:rPr>
        <w:t>falla crítica en el proceso de bioseguridad</w:t>
      </w:r>
      <w:r w:rsidRPr="00971F09">
        <w:rPr>
          <w:rFonts w:asciiTheme="minorHAnsi" w:eastAsia="Times New Roman" w:hAnsiTheme="minorHAnsi" w:cstheme="minorHAnsi"/>
          <w:sz w:val="22"/>
          <w:lang w:eastAsia="es-EC"/>
        </w:rPr>
        <w:t xml:space="preserve"> que </w:t>
      </w:r>
      <w:r w:rsidRPr="00971F09">
        <w:rPr>
          <w:rFonts w:asciiTheme="minorHAnsi" w:eastAsia="Times New Roman" w:hAnsiTheme="minorHAnsi" w:cstheme="minorHAnsi"/>
          <w:sz w:val="22"/>
          <w:lang w:eastAsia="es-EC"/>
        </w:rPr>
        <w:lastRenderedPageBreak/>
        <w:t xml:space="preserve">aumenta significativamente el riesgo de infecciones nosocomiales. De igual forma, el de fallo en la </w:t>
      </w:r>
      <w:r w:rsidRPr="00971F09">
        <w:rPr>
          <w:rFonts w:asciiTheme="minorHAnsi" w:eastAsia="Times New Roman" w:hAnsiTheme="minorHAnsi" w:cstheme="minorHAnsi"/>
          <w:bCs/>
          <w:sz w:val="22"/>
          <w:lang w:eastAsia="es-EC"/>
        </w:rPr>
        <w:t>Identif</w:t>
      </w:r>
      <w:r w:rsidR="00B672FD">
        <w:rPr>
          <w:rFonts w:asciiTheme="minorHAnsi" w:eastAsia="Times New Roman" w:hAnsiTheme="minorHAnsi" w:cstheme="minorHAnsi"/>
          <w:bCs/>
          <w:sz w:val="22"/>
          <w:lang w:eastAsia="es-EC"/>
        </w:rPr>
        <w:t>icación Correcta del Paciente</w:t>
      </w:r>
      <w:r w:rsidRPr="00971F09">
        <w:rPr>
          <w:rFonts w:asciiTheme="minorHAnsi" w:eastAsia="Times New Roman" w:hAnsiTheme="minorHAnsi" w:cstheme="minorHAnsi"/>
          <w:sz w:val="22"/>
          <w:lang w:eastAsia="es-EC"/>
        </w:rPr>
        <w:t xml:space="preserve"> introduce un riesgo de error grave.</w:t>
      </w:r>
    </w:p>
    <w:p w14:paraId="6423BCF1" w14:textId="7A9E7EC8" w:rsidR="00DB01B7" w:rsidRDefault="00DB01B7" w:rsidP="00971F09">
      <w:pPr>
        <w:numPr>
          <w:ilvl w:val="0"/>
          <w:numId w:val="38"/>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Necesidad de Mejora en Procesos Clínicos Específicos:</w:t>
      </w:r>
      <w:r w:rsidRPr="00971F09">
        <w:rPr>
          <w:rFonts w:asciiTheme="minorHAnsi" w:eastAsia="Times New Roman" w:hAnsiTheme="minorHAnsi" w:cstheme="minorHAnsi"/>
          <w:sz w:val="22"/>
          <w:lang w:eastAsia="es-EC"/>
        </w:rPr>
        <w:t xml:space="preserve"> La </w:t>
      </w:r>
      <w:r w:rsidRPr="00971F09">
        <w:rPr>
          <w:rFonts w:asciiTheme="minorHAnsi" w:eastAsia="Times New Roman" w:hAnsiTheme="minorHAnsi" w:cstheme="minorHAnsi"/>
          <w:bCs/>
          <w:sz w:val="22"/>
          <w:lang w:eastAsia="es-EC"/>
        </w:rPr>
        <w:t xml:space="preserve">Profilaxis de </w:t>
      </w:r>
      <w:proofErr w:type="spellStart"/>
      <w:r w:rsidRPr="00971F09">
        <w:rPr>
          <w:rFonts w:asciiTheme="minorHAnsi" w:eastAsia="Times New Roman" w:hAnsiTheme="minorHAnsi" w:cstheme="minorHAnsi"/>
          <w:bCs/>
          <w:sz w:val="22"/>
          <w:lang w:eastAsia="es-EC"/>
        </w:rPr>
        <w:t>Tromboembolismo</w:t>
      </w:r>
      <w:proofErr w:type="spellEnd"/>
      <w:r w:rsidRPr="00971F09">
        <w:rPr>
          <w:rFonts w:asciiTheme="minorHAnsi" w:eastAsia="Times New Roman" w:hAnsiTheme="minorHAnsi" w:cstheme="minorHAnsi"/>
          <w:bCs/>
          <w:sz w:val="22"/>
          <w:lang w:eastAsia="es-EC"/>
        </w:rPr>
        <w:t xml:space="preserve"> V</w:t>
      </w:r>
      <w:r w:rsidR="00B672FD">
        <w:rPr>
          <w:rFonts w:asciiTheme="minorHAnsi" w:eastAsia="Times New Roman" w:hAnsiTheme="minorHAnsi" w:cstheme="minorHAnsi"/>
          <w:bCs/>
          <w:sz w:val="22"/>
          <w:lang w:eastAsia="es-EC"/>
        </w:rPr>
        <w:t xml:space="preserve">enoso </w:t>
      </w:r>
      <w:r w:rsidRPr="00971F09">
        <w:rPr>
          <w:rFonts w:asciiTheme="minorHAnsi" w:eastAsia="Times New Roman" w:hAnsiTheme="minorHAnsi" w:cstheme="minorHAnsi"/>
          <w:sz w:val="22"/>
          <w:lang w:eastAsia="es-EC"/>
        </w:rPr>
        <w:t xml:space="preserve">muestra el mayor déficit de cumplimiento en los procesos, señalando una </w:t>
      </w:r>
      <w:r w:rsidRPr="00971F09">
        <w:rPr>
          <w:rFonts w:asciiTheme="minorHAnsi" w:eastAsia="Times New Roman" w:hAnsiTheme="minorHAnsi" w:cstheme="minorHAnsi"/>
          <w:bCs/>
          <w:sz w:val="22"/>
          <w:lang w:eastAsia="es-EC"/>
        </w:rPr>
        <w:t>barrera en la implementación de guías clínicas</w:t>
      </w:r>
      <w:r w:rsidRPr="00971F09">
        <w:rPr>
          <w:rFonts w:asciiTheme="minorHAnsi" w:eastAsia="Times New Roman" w:hAnsiTheme="minorHAnsi" w:cstheme="minorHAnsi"/>
          <w:sz w:val="22"/>
          <w:lang w:eastAsia="es-EC"/>
        </w:rPr>
        <w:t xml:space="preserve"> que debe ser </w:t>
      </w:r>
      <w:r w:rsidRPr="003E1290">
        <w:rPr>
          <w:rFonts w:asciiTheme="minorHAnsi" w:eastAsia="Times New Roman" w:hAnsiTheme="minorHAnsi" w:cstheme="minorHAnsi"/>
          <w:sz w:val="22"/>
          <w:lang w:eastAsia="es-EC"/>
        </w:rPr>
        <w:t>abordada para reducir la morbilidad asociada al TEV.</w:t>
      </w:r>
    </w:p>
    <w:p w14:paraId="4A145CF1" w14:textId="6471EC8C" w:rsidR="00DB01B7" w:rsidRPr="00B672FD" w:rsidRDefault="00B672FD" w:rsidP="00B672FD">
      <w:pPr>
        <w:pStyle w:val="Ttulo2"/>
        <w:rPr>
          <w:rFonts w:asciiTheme="minorHAnsi" w:eastAsia="Times New Roman" w:hAnsiTheme="minorHAnsi" w:cstheme="minorHAnsi"/>
          <w:b w:val="0"/>
          <w:bCs/>
          <w:sz w:val="22"/>
          <w:lang w:eastAsia="es-EC"/>
        </w:rPr>
      </w:pPr>
      <w:r>
        <w:rPr>
          <w:rFonts w:asciiTheme="minorHAnsi" w:eastAsia="Times New Roman" w:hAnsiTheme="minorHAnsi" w:cstheme="minorHAnsi"/>
          <w:bCs/>
          <w:sz w:val="22"/>
          <w:lang w:eastAsia="es-EC"/>
        </w:rPr>
        <w:t xml:space="preserve">Conclusiones de </w:t>
      </w:r>
      <w:r w:rsidR="00DB01B7" w:rsidRPr="00B672FD">
        <w:rPr>
          <w:rFonts w:asciiTheme="minorHAnsi" w:eastAsia="Times New Roman" w:hAnsiTheme="minorHAnsi" w:cstheme="minorHAnsi"/>
          <w:bCs/>
          <w:sz w:val="22"/>
          <w:lang w:eastAsia="es-EC"/>
        </w:rPr>
        <w:t>Resultados</w:t>
      </w:r>
    </w:p>
    <w:p w14:paraId="0A3E58E7" w14:textId="12AD6532" w:rsidR="00DB01B7" w:rsidRPr="00971F09" w:rsidRDefault="00DB01B7" w:rsidP="00971F09">
      <w:pPr>
        <w:numPr>
          <w:ilvl w:val="0"/>
          <w:numId w:val="39"/>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Resultados Clínicos Sólidos en Prevención de Infecciones:</w:t>
      </w:r>
      <w:r w:rsidRPr="00971F09">
        <w:rPr>
          <w:rFonts w:asciiTheme="minorHAnsi" w:eastAsia="Times New Roman" w:hAnsiTheme="minorHAnsi" w:cstheme="minorHAnsi"/>
          <w:sz w:val="22"/>
          <w:lang w:eastAsia="es-EC"/>
        </w:rPr>
        <w:t xml:space="preserve"> El </w:t>
      </w:r>
      <w:r w:rsidRPr="00971F09">
        <w:rPr>
          <w:rFonts w:asciiTheme="minorHAnsi" w:eastAsia="Times New Roman" w:hAnsiTheme="minorHAnsi" w:cstheme="minorHAnsi"/>
          <w:bCs/>
          <w:sz w:val="22"/>
          <w:lang w:eastAsia="es-EC"/>
        </w:rPr>
        <w:t>bajo porcentaj</w:t>
      </w:r>
      <w:r w:rsidR="00B672FD">
        <w:rPr>
          <w:rFonts w:asciiTheme="minorHAnsi" w:eastAsia="Times New Roman" w:hAnsiTheme="minorHAnsi" w:cstheme="minorHAnsi"/>
          <w:bCs/>
          <w:sz w:val="22"/>
          <w:lang w:eastAsia="es-EC"/>
        </w:rPr>
        <w:t xml:space="preserve">e de cirugías con infecciones </w:t>
      </w:r>
      <w:r w:rsidRPr="00971F09">
        <w:rPr>
          <w:rFonts w:asciiTheme="minorHAnsi" w:eastAsia="Times New Roman" w:hAnsiTheme="minorHAnsi" w:cstheme="minorHAnsi"/>
          <w:sz w:val="22"/>
          <w:lang w:eastAsia="es-EC"/>
        </w:rPr>
        <w:t xml:space="preserve">demuestra que, a pesar de las fallas en procesos como la higiene de manos, los </w:t>
      </w:r>
      <w:r w:rsidRPr="00971F09">
        <w:rPr>
          <w:rFonts w:asciiTheme="minorHAnsi" w:eastAsia="Times New Roman" w:hAnsiTheme="minorHAnsi" w:cstheme="minorHAnsi"/>
          <w:bCs/>
          <w:sz w:val="22"/>
          <w:lang w:eastAsia="es-EC"/>
        </w:rPr>
        <w:t>protocolos quirúrgicos y postoperatorios son altamente efectivos</w:t>
      </w:r>
      <w:r w:rsidRPr="00971F09">
        <w:rPr>
          <w:rFonts w:asciiTheme="minorHAnsi" w:eastAsia="Times New Roman" w:hAnsiTheme="minorHAnsi" w:cstheme="minorHAnsi"/>
          <w:sz w:val="22"/>
          <w:lang w:eastAsia="es-EC"/>
        </w:rPr>
        <w:t xml:space="preserve"> en prevenir la infección del sitio quirúrgico, validando una parte crucial del resultado final.</w:t>
      </w:r>
    </w:p>
    <w:p w14:paraId="14E5571C" w14:textId="34E446A7" w:rsidR="00DB01B7" w:rsidRPr="00971F09" w:rsidRDefault="00DB01B7" w:rsidP="00971F09">
      <w:pPr>
        <w:numPr>
          <w:ilvl w:val="0"/>
          <w:numId w:val="39"/>
        </w:num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bCs/>
          <w:sz w:val="22"/>
          <w:lang w:eastAsia="es-EC"/>
        </w:rPr>
        <w:t>Satisfacción del Usuario Favorable, con Oportunidad de Perfeccionamiento:</w:t>
      </w:r>
      <w:r w:rsidRPr="00971F09">
        <w:rPr>
          <w:rFonts w:asciiTheme="minorHAnsi" w:eastAsia="Times New Roman" w:hAnsiTheme="minorHAnsi" w:cstheme="minorHAnsi"/>
          <w:sz w:val="22"/>
          <w:lang w:eastAsia="es-EC"/>
        </w:rPr>
        <w:t xml:space="preserve"> El nivel de </w:t>
      </w:r>
      <w:r w:rsidR="00B672FD">
        <w:rPr>
          <w:rFonts w:asciiTheme="minorHAnsi" w:eastAsia="Times New Roman" w:hAnsiTheme="minorHAnsi" w:cstheme="minorHAnsi"/>
          <w:bCs/>
          <w:sz w:val="22"/>
          <w:lang w:eastAsia="es-EC"/>
        </w:rPr>
        <w:t xml:space="preserve">satisfacción </w:t>
      </w:r>
      <w:r w:rsidRPr="00971F09">
        <w:rPr>
          <w:rFonts w:asciiTheme="minorHAnsi" w:eastAsia="Times New Roman" w:hAnsiTheme="minorHAnsi" w:cstheme="minorHAnsi"/>
          <w:sz w:val="22"/>
          <w:lang w:eastAsia="es-EC"/>
        </w:rPr>
        <w:t xml:space="preserve">es alto, lo que sugiere que la calidad de la atención percibida es buena. Sin embargo, el </w:t>
      </w:r>
      <w:r w:rsidRPr="00971F09">
        <w:rPr>
          <w:rFonts w:asciiTheme="minorHAnsi" w:eastAsia="Times New Roman" w:hAnsiTheme="minorHAnsi" w:cstheme="minorHAnsi"/>
          <w:bCs/>
          <w:sz w:val="22"/>
          <w:lang w:eastAsia="es-EC"/>
        </w:rPr>
        <w:t>de insatisfacción</w:t>
      </w:r>
      <w:r w:rsidRPr="00971F09">
        <w:rPr>
          <w:rFonts w:asciiTheme="minorHAnsi" w:eastAsia="Times New Roman" w:hAnsiTheme="minorHAnsi" w:cstheme="minorHAnsi"/>
          <w:sz w:val="22"/>
          <w:lang w:eastAsia="es-EC"/>
        </w:rPr>
        <w:t xml:space="preserve"> indica que la mejora en los procesos interpersonales y de comunicación puede elevar aún más este resultado, </w:t>
      </w:r>
      <w:r w:rsidRPr="00971F09">
        <w:rPr>
          <w:rFonts w:asciiTheme="minorHAnsi" w:eastAsia="Times New Roman" w:hAnsiTheme="minorHAnsi" w:cstheme="minorHAnsi"/>
          <w:bCs/>
          <w:sz w:val="22"/>
          <w:lang w:eastAsia="es-EC"/>
        </w:rPr>
        <w:t xml:space="preserve">cerrando el ciclo de calidad </w:t>
      </w:r>
      <w:proofErr w:type="spellStart"/>
      <w:r w:rsidRPr="00971F09">
        <w:rPr>
          <w:rFonts w:asciiTheme="minorHAnsi" w:eastAsia="Times New Roman" w:hAnsiTheme="minorHAnsi" w:cstheme="minorHAnsi"/>
          <w:bCs/>
          <w:sz w:val="22"/>
          <w:lang w:eastAsia="es-EC"/>
        </w:rPr>
        <w:t>Donabedian</w:t>
      </w:r>
      <w:proofErr w:type="spellEnd"/>
      <w:r w:rsidRPr="00971F09">
        <w:rPr>
          <w:rFonts w:asciiTheme="minorHAnsi" w:eastAsia="Times New Roman" w:hAnsiTheme="minorHAnsi" w:cstheme="minorHAnsi"/>
          <w:sz w:val="22"/>
          <w:lang w:eastAsia="es-EC"/>
        </w:rPr>
        <w:t>.</w:t>
      </w:r>
    </w:p>
    <w:p w14:paraId="31B40ED8" w14:textId="1F6B8D1D" w:rsidR="00DB01B7" w:rsidRPr="00971F09" w:rsidRDefault="00DB01B7" w:rsidP="00971F09">
      <w:pPr>
        <w:spacing w:before="100" w:beforeAutospacing="1" w:after="100" w:afterAutospacing="1"/>
        <w:rPr>
          <w:rFonts w:asciiTheme="minorHAnsi" w:eastAsia="Times New Roman" w:hAnsiTheme="minorHAnsi" w:cstheme="minorHAnsi"/>
          <w:sz w:val="22"/>
          <w:lang w:eastAsia="es-EC"/>
        </w:rPr>
      </w:pPr>
      <w:r w:rsidRPr="00971F09">
        <w:rPr>
          <w:rFonts w:asciiTheme="minorHAnsi" w:eastAsia="Times New Roman" w:hAnsiTheme="minorHAnsi" w:cstheme="minorHAnsi"/>
          <w:sz w:val="22"/>
          <w:lang w:eastAsia="es-EC"/>
        </w:rPr>
        <w:t xml:space="preserve">En síntesis, si bien la estructura muestra fortalezas en recursos materiales y un conocimiento técnico de alto nivel, la </w:t>
      </w:r>
      <w:r w:rsidRPr="00971F09">
        <w:rPr>
          <w:rFonts w:asciiTheme="minorHAnsi" w:eastAsia="Times New Roman" w:hAnsiTheme="minorHAnsi" w:cstheme="minorHAnsi"/>
          <w:bCs/>
          <w:sz w:val="22"/>
          <w:lang w:eastAsia="es-EC"/>
        </w:rPr>
        <w:t>carencia de personal especializado</w:t>
      </w:r>
      <w:r w:rsidRPr="00971F09">
        <w:rPr>
          <w:rFonts w:asciiTheme="minorHAnsi" w:eastAsia="Times New Roman" w:hAnsiTheme="minorHAnsi" w:cstheme="minorHAnsi"/>
          <w:sz w:val="22"/>
          <w:lang w:eastAsia="es-EC"/>
        </w:rPr>
        <w:t xml:space="preserve"> es una amenaza estructural latente. Los procesos demuestran una aplicación robusta de protocolos de seguridad preventiva, pero una </w:t>
      </w:r>
      <w:r w:rsidRPr="00971F09">
        <w:rPr>
          <w:rFonts w:asciiTheme="minorHAnsi" w:eastAsia="Times New Roman" w:hAnsiTheme="minorHAnsi" w:cstheme="minorHAnsi"/>
          <w:bCs/>
          <w:sz w:val="22"/>
          <w:lang w:eastAsia="es-EC"/>
        </w:rPr>
        <w:t>vulnerabilidad significativa</w:t>
      </w:r>
      <w:r w:rsidRPr="00971F09">
        <w:rPr>
          <w:rFonts w:asciiTheme="minorHAnsi" w:eastAsia="Times New Roman" w:hAnsiTheme="minorHAnsi" w:cstheme="minorHAnsi"/>
          <w:sz w:val="22"/>
          <w:lang w:eastAsia="es-EC"/>
        </w:rPr>
        <w:t xml:space="preserve"> en las prácticas fundamentales de bioseguridad y adherencia a guías críticas. A pesar de estas debilidades en procesos, los resultados finales son generalmente positivos, destacando una </w:t>
      </w:r>
      <w:r w:rsidRPr="00971F09">
        <w:rPr>
          <w:rFonts w:asciiTheme="minorHAnsi" w:eastAsia="Times New Roman" w:hAnsiTheme="minorHAnsi" w:cstheme="minorHAnsi"/>
          <w:bCs/>
          <w:sz w:val="22"/>
          <w:lang w:eastAsia="es-EC"/>
        </w:rPr>
        <w:t>baja tasa de infecciones quirúrgicas</w:t>
      </w:r>
      <w:r w:rsidRPr="00971F09">
        <w:rPr>
          <w:rFonts w:asciiTheme="minorHAnsi" w:eastAsia="Times New Roman" w:hAnsiTheme="minorHAnsi" w:cstheme="minorHAnsi"/>
          <w:sz w:val="22"/>
          <w:lang w:eastAsia="es-EC"/>
        </w:rPr>
        <w:t xml:space="preserve"> y una alta satisfacción, lo que sugiere que la </w:t>
      </w:r>
      <w:r w:rsidRPr="00971F09">
        <w:rPr>
          <w:rFonts w:asciiTheme="minorHAnsi" w:eastAsia="Times New Roman" w:hAnsiTheme="minorHAnsi" w:cstheme="minorHAnsi"/>
          <w:bCs/>
          <w:sz w:val="22"/>
          <w:lang w:eastAsia="es-EC"/>
        </w:rPr>
        <w:t>interconexión estructura-proceso-resultado</w:t>
      </w:r>
      <w:r w:rsidRPr="00971F09">
        <w:rPr>
          <w:rFonts w:asciiTheme="minorHAnsi" w:eastAsia="Times New Roman" w:hAnsiTheme="minorHAnsi" w:cstheme="minorHAnsi"/>
          <w:sz w:val="22"/>
          <w:lang w:eastAsia="es-EC"/>
        </w:rPr>
        <w:t xml:space="preserve"> está funcionando parcialmente, pero requiere una intervención estratégica en la capacitación y en el cumplimiento de los procesos de seguridad básica para garantizar una calidad óptima y sostenible.</w:t>
      </w:r>
    </w:p>
    <w:p w14:paraId="398B158A" w14:textId="77777777" w:rsidR="00DB01B7" w:rsidRPr="003E1290" w:rsidRDefault="00DB01B7" w:rsidP="0053144E">
      <w:pPr>
        <w:rPr>
          <w:rFonts w:asciiTheme="minorHAnsi" w:hAnsiTheme="minorHAnsi" w:cstheme="minorHAnsi"/>
          <w:sz w:val="22"/>
        </w:rPr>
      </w:pPr>
    </w:p>
    <w:p w14:paraId="31525207" w14:textId="48634578" w:rsidR="00021696" w:rsidRPr="003E1290" w:rsidRDefault="00021696" w:rsidP="0053144E">
      <w:pPr>
        <w:pStyle w:val="Ttulo1"/>
        <w:rPr>
          <w:rFonts w:asciiTheme="minorHAnsi" w:hAnsiTheme="minorHAnsi" w:cstheme="minorHAnsi"/>
          <w:sz w:val="22"/>
          <w:szCs w:val="22"/>
          <w:lang w:val="es-EC"/>
        </w:rPr>
      </w:pPr>
      <w:r w:rsidRPr="003E1290">
        <w:rPr>
          <w:rFonts w:asciiTheme="minorHAnsi" w:hAnsiTheme="minorHAnsi" w:cstheme="minorHAnsi"/>
          <w:sz w:val="22"/>
          <w:szCs w:val="22"/>
          <w:lang w:val="es-EC"/>
        </w:rPr>
        <w:t>Referencias bibliogr</w:t>
      </w:r>
      <w:r w:rsidR="00B15201" w:rsidRPr="003E1290">
        <w:rPr>
          <w:rFonts w:asciiTheme="minorHAnsi" w:hAnsiTheme="minorHAnsi" w:cstheme="minorHAnsi"/>
          <w:sz w:val="22"/>
          <w:szCs w:val="22"/>
          <w:lang w:val="es-EC"/>
        </w:rPr>
        <w:t>á</w:t>
      </w:r>
      <w:r w:rsidRPr="003E1290">
        <w:rPr>
          <w:rFonts w:asciiTheme="minorHAnsi" w:hAnsiTheme="minorHAnsi" w:cstheme="minorHAnsi"/>
          <w:sz w:val="22"/>
          <w:szCs w:val="22"/>
          <w:lang w:val="es-EC"/>
        </w:rPr>
        <w:t>ficas</w:t>
      </w:r>
    </w:p>
    <w:p w14:paraId="0DB1448C"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1. Arah, O. A., Klazinga, N. S., Delnoij, D. M., &amp; Schoonen, M. (2006). Conceptual framework for the OECD Health Care Quality Indicator Project. International Journal for Quality in Health Care, 18(S1), 5-13.</w:t>
      </w:r>
    </w:p>
    <w:p w14:paraId="649F6E8C" w14:textId="77777777" w:rsidR="0005436B" w:rsidRPr="003E1290" w:rsidRDefault="0005436B" w:rsidP="0053144E">
      <w:pPr>
        <w:rPr>
          <w:rFonts w:asciiTheme="minorHAnsi" w:hAnsiTheme="minorHAnsi" w:cstheme="minorHAnsi"/>
          <w:noProof/>
          <w:sz w:val="22"/>
        </w:rPr>
      </w:pPr>
    </w:p>
    <w:p w14:paraId="5360D9D5"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2. Baker, G. R., Denis, J. L., &amp; Araki, K. (2006). Evaluación de la calidad en la atención sanitaria: un enfoque para el cambio. Toronto: Health Canada.</w:t>
      </w:r>
    </w:p>
    <w:p w14:paraId="4591AC93" w14:textId="77777777" w:rsidR="0005436B" w:rsidRPr="003E1290" w:rsidRDefault="0005436B" w:rsidP="0053144E">
      <w:pPr>
        <w:rPr>
          <w:rFonts w:asciiTheme="minorHAnsi" w:hAnsiTheme="minorHAnsi" w:cstheme="minorHAnsi"/>
          <w:noProof/>
          <w:sz w:val="22"/>
        </w:rPr>
      </w:pPr>
    </w:p>
    <w:p w14:paraId="00966856"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3. Grol, R., Wensing, M., &amp; Eccles, M. (2007). Improving Patient Care: The Implementation of Change in Health Care. Wiley-Blackwell.</w:t>
      </w:r>
    </w:p>
    <w:p w14:paraId="252D520F" w14:textId="77777777" w:rsidR="0005436B" w:rsidRPr="003E1290" w:rsidRDefault="0005436B" w:rsidP="0053144E">
      <w:pPr>
        <w:rPr>
          <w:rFonts w:asciiTheme="minorHAnsi" w:hAnsiTheme="minorHAnsi" w:cstheme="minorHAnsi"/>
          <w:noProof/>
          <w:sz w:val="22"/>
        </w:rPr>
      </w:pPr>
    </w:p>
    <w:p w14:paraId="56B1C05F"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4. McKee, M., Nolte, E., &amp; O’Neill, K. (2004). The role of health systems in improving health outcomes. British Medical Journal, 329(7464), 805-808.</w:t>
      </w:r>
    </w:p>
    <w:p w14:paraId="7C2DE752" w14:textId="77777777" w:rsidR="0005436B" w:rsidRPr="003E1290" w:rsidRDefault="0005436B" w:rsidP="0053144E">
      <w:pPr>
        <w:rPr>
          <w:rFonts w:asciiTheme="minorHAnsi" w:hAnsiTheme="minorHAnsi" w:cstheme="minorHAnsi"/>
          <w:noProof/>
          <w:sz w:val="22"/>
        </w:rPr>
      </w:pPr>
    </w:p>
    <w:p w14:paraId="08101F0B"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5. Organización Mundial de la Salud (2015). World Health Statistics 2015. Ginebra: OMS.</w:t>
      </w:r>
    </w:p>
    <w:p w14:paraId="6D838BFC" w14:textId="77777777" w:rsidR="0005436B" w:rsidRPr="003E1290" w:rsidRDefault="0005436B" w:rsidP="0053144E">
      <w:pPr>
        <w:rPr>
          <w:rFonts w:asciiTheme="minorHAnsi" w:hAnsiTheme="minorHAnsi" w:cstheme="minorHAnsi"/>
          <w:noProof/>
          <w:sz w:val="22"/>
        </w:rPr>
      </w:pPr>
    </w:p>
    <w:p w14:paraId="6A9E3C14" w14:textId="77777777" w:rsidR="0005436B" w:rsidRPr="003E1290" w:rsidRDefault="0005436B" w:rsidP="0053144E">
      <w:pPr>
        <w:rPr>
          <w:rFonts w:asciiTheme="minorHAnsi" w:hAnsiTheme="minorHAnsi" w:cstheme="minorHAnsi"/>
          <w:noProof/>
          <w:sz w:val="22"/>
        </w:rPr>
      </w:pPr>
      <w:r w:rsidRPr="003E1290">
        <w:rPr>
          <w:rFonts w:asciiTheme="minorHAnsi" w:hAnsiTheme="minorHAnsi" w:cstheme="minorHAnsi"/>
          <w:noProof/>
          <w:sz w:val="22"/>
        </w:rPr>
        <w:t xml:space="preserve">6. Tzeng, H. M., Yin, C. Y., &amp; Hsu, Y. H. (2010). Patient satisfaction: The effects of nurse staffing levels, nurse-physician relationships, and organizational culture. Nursing Management, 41(5), 9-13. </w:t>
      </w:r>
    </w:p>
    <w:p w14:paraId="5C0269F3" w14:textId="77777777" w:rsidR="00021696" w:rsidRPr="003E1290" w:rsidRDefault="00021696" w:rsidP="0053144E">
      <w:pPr>
        <w:rPr>
          <w:rFonts w:asciiTheme="minorHAnsi" w:hAnsiTheme="minorHAnsi" w:cstheme="minorHAnsi"/>
          <w:sz w:val="22"/>
        </w:rPr>
      </w:pPr>
    </w:p>
    <w:sectPr w:rsidR="00021696" w:rsidRPr="003E12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0A17DD" w14:textId="77777777" w:rsidR="00E45341" w:rsidRPr="0026087D" w:rsidRDefault="00E45341" w:rsidP="0053144E">
      <w:r w:rsidRPr="0026087D">
        <w:separator/>
      </w:r>
    </w:p>
  </w:endnote>
  <w:endnote w:type="continuationSeparator" w:id="0">
    <w:p w14:paraId="1CE51A9B" w14:textId="77777777" w:rsidR="00E45341" w:rsidRPr="0026087D" w:rsidRDefault="00E45341" w:rsidP="0053144E">
      <w:r w:rsidRPr="002608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6EB0EC" w14:textId="77777777" w:rsidR="00E45341" w:rsidRPr="0026087D" w:rsidRDefault="00E45341" w:rsidP="0053144E">
      <w:r w:rsidRPr="0026087D">
        <w:separator/>
      </w:r>
    </w:p>
  </w:footnote>
  <w:footnote w:type="continuationSeparator" w:id="0">
    <w:p w14:paraId="57751AE4" w14:textId="77777777" w:rsidR="00E45341" w:rsidRPr="0026087D" w:rsidRDefault="00E45341" w:rsidP="0053144E">
      <w:r w:rsidRPr="0026087D">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54690"/>
    <w:multiLevelType w:val="hybridMultilevel"/>
    <w:tmpl w:val="CBC6F510"/>
    <w:lvl w:ilvl="0" w:tplc="99C83C32">
      <w:start w:val="4"/>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nsid w:val="00DB0EB5"/>
    <w:multiLevelType w:val="hybridMultilevel"/>
    <w:tmpl w:val="16C2875A"/>
    <w:lvl w:ilvl="0" w:tplc="0ACC9002">
      <w:start w:val="2"/>
      <w:numFmt w:val="bullet"/>
      <w:lvlText w:val="-"/>
      <w:lvlJc w:val="left"/>
      <w:pPr>
        <w:ind w:left="927" w:hanging="360"/>
      </w:pPr>
      <w:rPr>
        <w:rFonts w:ascii="Times New Roman" w:eastAsiaTheme="minorHAnsi"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
    <w:nsid w:val="02DC551F"/>
    <w:multiLevelType w:val="hybridMultilevel"/>
    <w:tmpl w:val="3CB40EB4"/>
    <w:lvl w:ilvl="0" w:tplc="86980F1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4AF6647"/>
    <w:multiLevelType w:val="hybridMultilevel"/>
    <w:tmpl w:val="BB26392C"/>
    <w:lvl w:ilvl="0" w:tplc="B4B2A11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73102B3"/>
    <w:multiLevelType w:val="hybridMultilevel"/>
    <w:tmpl w:val="7138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BA368E"/>
    <w:multiLevelType w:val="hybridMultilevel"/>
    <w:tmpl w:val="3272C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102D4666"/>
    <w:multiLevelType w:val="hybridMultilevel"/>
    <w:tmpl w:val="656E9AE0"/>
    <w:lvl w:ilvl="0" w:tplc="1AB84548">
      <w:start w:val="2"/>
      <w:numFmt w:val="bullet"/>
      <w:lvlText w:val="-"/>
      <w:lvlJc w:val="left"/>
      <w:pPr>
        <w:ind w:left="360" w:hanging="360"/>
      </w:pPr>
      <w:rPr>
        <w:rFonts w:ascii="Arial" w:eastAsiaTheme="minorHAnsi" w:hAnsi="Aria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nsid w:val="10FA7F9A"/>
    <w:multiLevelType w:val="hybridMultilevel"/>
    <w:tmpl w:val="0166EC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169A4835"/>
    <w:multiLevelType w:val="multilevel"/>
    <w:tmpl w:val="D44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9510BA"/>
    <w:multiLevelType w:val="hybridMultilevel"/>
    <w:tmpl w:val="0172D812"/>
    <w:lvl w:ilvl="0" w:tplc="C134824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19B7316E"/>
    <w:multiLevelType w:val="hybridMultilevel"/>
    <w:tmpl w:val="2C669A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nsid w:val="1C701E52"/>
    <w:multiLevelType w:val="hybridMultilevel"/>
    <w:tmpl w:val="E4B0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D60EFF"/>
    <w:multiLevelType w:val="hybridMultilevel"/>
    <w:tmpl w:val="0D4EB9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nsid w:val="30CC3510"/>
    <w:multiLevelType w:val="hybridMultilevel"/>
    <w:tmpl w:val="3C56295E"/>
    <w:lvl w:ilvl="0" w:tplc="5F5CD7BE">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4">
    <w:nsid w:val="323E443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8FA12A8"/>
    <w:multiLevelType w:val="hybridMultilevel"/>
    <w:tmpl w:val="0DA845DC"/>
    <w:lvl w:ilvl="0" w:tplc="5DB20298">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3A661D38"/>
    <w:multiLevelType w:val="multilevel"/>
    <w:tmpl w:val="F3DE0F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A911266"/>
    <w:multiLevelType w:val="hybridMultilevel"/>
    <w:tmpl w:val="E86E4B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3C91595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F4F09C5"/>
    <w:multiLevelType w:val="multilevel"/>
    <w:tmpl w:val="1C42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24106BE"/>
    <w:multiLevelType w:val="hybridMultilevel"/>
    <w:tmpl w:val="B9BE37D2"/>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nsid w:val="43391AA8"/>
    <w:multiLevelType w:val="multilevel"/>
    <w:tmpl w:val="BC24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5B1540B"/>
    <w:multiLevelType w:val="hybridMultilevel"/>
    <w:tmpl w:val="6E86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566107"/>
    <w:multiLevelType w:val="multilevel"/>
    <w:tmpl w:val="0540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977862"/>
    <w:multiLevelType w:val="multilevel"/>
    <w:tmpl w:val="031818B4"/>
    <w:lvl w:ilvl="0">
      <w:start w:val="1"/>
      <w:numFmt w:val="decimal"/>
      <w:pStyle w:val="Ttulo1"/>
      <w:lvlText w:val="%1"/>
      <w:lvlJc w:val="left"/>
      <w:pPr>
        <w:ind w:left="432" w:hanging="432"/>
      </w:pPr>
      <w:rPr>
        <w:b/>
      </w:rPr>
    </w:lvl>
    <w:lvl w:ilvl="1">
      <w:start w:val="1"/>
      <w:numFmt w:val="decimal"/>
      <w:pStyle w:val="Ttulo2"/>
      <w:lvlText w:val="%1.%2"/>
      <w:lvlJc w:val="left"/>
      <w:pPr>
        <w:ind w:left="576" w:hanging="576"/>
      </w:pPr>
      <w:rPr>
        <w:b/>
        <w:sz w:val="22"/>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nsid w:val="4D1028D9"/>
    <w:multiLevelType w:val="hybridMultilevel"/>
    <w:tmpl w:val="746604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nsid w:val="51706A80"/>
    <w:multiLevelType w:val="hybridMultilevel"/>
    <w:tmpl w:val="CC0A17E0"/>
    <w:lvl w:ilvl="0" w:tplc="F808F61A">
      <w:start w:val="2"/>
      <w:numFmt w:val="bullet"/>
      <w:lvlText w:val="-"/>
      <w:lvlJc w:val="left"/>
      <w:pPr>
        <w:ind w:left="360" w:hanging="360"/>
      </w:pPr>
      <w:rPr>
        <w:rFonts w:ascii="Arial" w:eastAsiaTheme="minorHAnsi" w:hAnsi="Aria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nsid w:val="518A5D1E"/>
    <w:multiLevelType w:val="hybridMultilevel"/>
    <w:tmpl w:val="03F2A2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53970A33"/>
    <w:multiLevelType w:val="hybridMultilevel"/>
    <w:tmpl w:val="D794D4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nsid w:val="55C81DB2"/>
    <w:multiLevelType w:val="multilevel"/>
    <w:tmpl w:val="E13A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5F14F80"/>
    <w:multiLevelType w:val="multilevel"/>
    <w:tmpl w:val="5B4258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nsid w:val="62BE55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3561696"/>
    <w:multiLevelType w:val="multilevel"/>
    <w:tmpl w:val="7ADCEE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nsid w:val="64375AFA"/>
    <w:multiLevelType w:val="hybridMultilevel"/>
    <w:tmpl w:val="CD6C5C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6A797612"/>
    <w:multiLevelType w:val="multilevel"/>
    <w:tmpl w:val="AB9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0A386D"/>
    <w:multiLevelType w:val="hybridMultilevel"/>
    <w:tmpl w:val="A57C0D7E"/>
    <w:lvl w:ilvl="0" w:tplc="11625D62">
      <w:start w:val="1"/>
      <w:numFmt w:val="lowerLetter"/>
      <w:lvlText w:val="%1)"/>
      <w:lvlJc w:val="left"/>
      <w:pPr>
        <w:ind w:left="1287" w:hanging="360"/>
      </w:pPr>
      <w:rPr>
        <w:b/>
      </w:r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36">
    <w:nsid w:val="733F0ED1"/>
    <w:multiLevelType w:val="hybridMultilevel"/>
    <w:tmpl w:val="336C1BA6"/>
    <w:lvl w:ilvl="0" w:tplc="0396D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743450E2"/>
    <w:multiLevelType w:val="hybridMultilevel"/>
    <w:tmpl w:val="6EEA7DEA"/>
    <w:lvl w:ilvl="0" w:tplc="14EE64E6">
      <w:start w:val="1"/>
      <w:numFmt w:val="lowerLetter"/>
      <w:lvlText w:val="%1)"/>
      <w:lvlJc w:val="left"/>
      <w:pPr>
        <w:ind w:left="927" w:hanging="360"/>
      </w:pPr>
      <w:rPr>
        <w:rFonts w:hint="default"/>
        <w:b w:val="0"/>
        <w:bCs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8">
    <w:nsid w:val="7A665FD4"/>
    <w:multiLevelType w:val="hybridMultilevel"/>
    <w:tmpl w:val="31EC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4"/>
  </w:num>
  <w:num w:numId="3">
    <w:abstractNumId w:val="8"/>
  </w:num>
  <w:num w:numId="4">
    <w:abstractNumId w:val="22"/>
  </w:num>
  <w:num w:numId="5">
    <w:abstractNumId w:val="4"/>
  </w:num>
  <w:num w:numId="6">
    <w:abstractNumId w:val="38"/>
  </w:num>
  <w:num w:numId="7">
    <w:abstractNumId w:val="28"/>
  </w:num>
  <w:num w:numId="8">
    <w:abstractNumId w:val="11"/>
  </w:num>
  <w:num w:numId="9">
    <w:abstractNumId w:val="32"/>
  </w:num>
  <w:num w:numId="10">
    <w:abstractNumId w:val="26"/>
  </w:num>
  <w:num w:numId="11">
    <w:abstractNumId w:val="6"/>
  </w:num>
  <w:num w:numId="12">
    <w:abstractNumId w:val="1"/>
  </w:num>
  <w:num w:numId="13">
    <w:abstractNumId w:val="30"/>
  </w:num>
  <w:num w:numId="14">
    <w:abstractNumId w:val="13"/>
  </w:num>
  <w:num w:numId="15">
    <w:abstractNumId w:val="37"/>
  </w:num>
  <w:num w:numId="16">
    <w:abstractNumId w:val="20"/>
  </w:num>
  <w:num w:numId="17">
    <w:abstractNumId w:val="17"/>
  </w:num>
  <w:num w:numId="18">
    <w:abstractNumId w:val="12"/>
  </w:num>
  <w:num w:numId="19">
    <w:abstractNumId w:val="10"/>
  </w:num>
  <w:num w:numId="20">
    <w:abstractNumId w:val="25"/>
  </w:num>
  <w:num w:numId="21">
    <w:abstractNumId w:val="16"/>
  </w:num>
  <w:num w:numId="22">
    <w:abstractNumId w:val="31"/>
  </w:num>
  <w:num w:numId="23">
    <w:abstractNumId w:val="18"/>
  </w:num>
  <w:num w:numId="24">
    <w:abstractNumId w:val="14"/>
  </w:num>
  <w:num w:numId="25">
    <w:abstractNumId w:val="35"/>
  </w:num>
  <w:num w:numId="26">
    <w:abstractNumId w:val="24"/>
  </w:num>
  <w:num w:numId="27">
    <w:abstractNumId w:val="9"/>
  </w:num>
  <w:num w:numId="28">
    <w:abstractNumId w:val="36"/>
  </w:num>
  <w:num w:numId="29">
    <w:abstractNumId w:val="7"/>
  </w:num>
  <w:num w:numId="30">
    <w:abstractNumId w:val="2"/>
  </w:num>
  <w:num w:numId="31">
    <w:abstractNumId w:val="27"/>
  </w:num>
  <w:num w:numId="32">
    <w:abstractNumId w:val="3"/>
  </w:num>
  <w:num w:numId="33">
    <w:abstractNumId w:val="15"/>
  </w:num>
  <w:num w:numId="34">
    <w:abstractNumId w:val="33"/>
  </w:num>
  <w:num w:numId="35">
    <w:abstractNumId w:val="5"/>
  </w:num>
  <w:num w:numId="36">
    <w:abstractNumId w:val="0"/>
  </w:num>
  <w:num w:numId="37">
    <w:abstractNumId w:val="19"/>
  </w:num>
  <w:num w:numId="38">
    <w:abstractNumId w:val="21"/>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6AE"/>
    <w:rsid w:val="00001E89"/>
    <w:rsid w:val="0000289C"/>
    <w:rsid w:val="0000304A"/>
    <w:rsid w:val="000041CA"/>
    <w:rsid w:val="00005306"/>
    <w:rsid w:val="00010964"/>
    <w:rsid w:val="00011C33"/>
    <w:rsid w:val="000120F0"/>
    <w:rsid w:val="000123CA"/>
    <w:rsid w:val="00012EF4"/>
    <w:rsid w:val="00014483"/>
    <w:rsid w:val="00014D73"/>
    <w:rsid w:val="00015E75"/>
    <w:rsid w:val="00016055"/>
    <w:rsid w:val="00016C39"/>
    <w:rsid w:val="000201F4"/>
    <w:rsid w:val="00021696"/>
    <w:rsid w:val="00023239"/>
    <w:rsid w:val="00023B57"/>
    <w:rsid w:val="000300E8"/>
    <w:rsid w:val="00030DAD"/>
    <w:rsid w:val="00031317"/>
    <w:rsid w:val="000366C9"/>
    <w:rsid w:val="00036A2B"/>
    <w:rsid w:val="00047114"/>
    <w:rsid w:val="00050E07"/>
    <w:rsid w:val="00050E2C"/>
    <w:rsid w:val="00052167"/>
    <w:rsid w:val="0005436B"/>
    <w:rsid w:val="00055691"/>
    <w:rsid w:val="000562D4"/>
    <w:rsid w:val="00060D28"/>
    <w:rsid w:val="00063C8B"/>
    <w:rsid w:val="00065500"/>
    <w:rsid w:val="00065892"/>
    <w:rsid w:val="000668C1"/>
    <w:rsid w:val="00066F98"/>
    <w:rsid w:val="00071DF0"/>
    <w:rsid w:val="0007223D"/>
    <w:rsid w:val="000728A7"/>
    <w:rsid w:val="00072AA3"/>
    <w:rsid w:val="00072BDF"/>
    <w:rsid w:val="00072CDA"/>
    <w:rsid w:val="0007340C"/>
    <w:rsid w:val="00073E33"/>
    <w:rsid w:val="000745C3"/>
    <w:rsid w:val="00074811"/>
    <w:rsid w:val="00074AC5"/>
    <w:rsid w:val="00074E14"/>
    <w:rsid w:val="00075906"/>
    <w:rsid w:val="00077D54"/>
    <w:rsid w:val="00077D93"/>
    <w:rsid w:val="00080DD7"/>
    <w:rsid w:val="00080DE6"/>
    <w:rsid w:val="000823A5"/>
    <w:rsid w:val="00082737"/>
    <w:rsid w:val="00082A2B"/>
    <w:rsid w:val="00091390"/>
    <w:rsid w:val="000B78EF"/>
    <w:rsid w:val="000C0D4F"/>
    <w:rsid w:val="000C1E9E"/>
    <w:rsid w:val="000C2CCE"/>
    <w:rsid w:val="000C4083"/>
    <w:rsid w:val="000C4F76"/>
    <w:rsid w:val="000C637F"/>
    <w:rsid w:val="000D19C8"/>
    <w:rsid w:val="000D4283"/>
    <w:rsid w:val="000D50BD"/>
    <w:rsid w:val="000D7EF8"/>
    <w:rsid w:val="000F0F44"/>
    <w:rsid w:val="000F1ADD"/>
    <w:rsid w:val="000F20AA"/>
    <w:rsid w:val="000F3A26"/>
    <w:rsid w:val="000F4607"/>
    <w:rsid w:val="000F6164"/>
    <w:rsid w:val="000F69F5"/>
    <w:rsid w:val="001008BE"/>
    <w:rsid w:val="00101E07"/>
    <w:rsid w:val="00102265"/>
    <w:rsid w:val="001025B3"/>
    <w:rsid w:val="00102CC1"/>
    <w:rsid w:val="0010325E"/>
    <w:rsid w:val="00104BAE"/>
    <w:rsid w:val="001055A0"/>
    <w:rsid w:val="0010608B"/>
    <w:rsid w:val="001100E8"/>
    <w:rsid w:val="0011090E"/>
    <w:rsid w:val="00111380"/>
    <w:rsid w:val="001118AD"/>
    <w:rsid w:val="001122D8"/>
    <w:rsid w:val="00113929"/>
    <w:rsid w:val="00114999"/>
    <w:rsid w:val="00115AA4"/>
    <w:rsid w:val="00115BB7"/>
    <w:rsid w:val="00115EAA"/>
    <w:rsid w:val="001176AE"/>
    <w:rsid w:val="00117D4F"/>
    <w:rsid w:val="00117E5F"/>
    <w:rsid w:val="00121718"/>
    <w:rsid w:val="00121DC9"/>
    <w:rsid w:val="001227BC"/>
    <w:rsid w:val="00124F5C"/>
    <w:rsid w:val="0012574D"/>
    <w:rsid w:val="00125E30"/>
    <w:rsid w:val="001263B9"/>
    <w:rsid w:val="0012641B"/>
    <w:rsid w:val="001267B7"/>
    <w:rsid w:val="001319FC"/>
    <w:rsid w:val="001324C6"/>
    <w:rsid w:val="00132A71"/>
    <w:rsid w:val="0013350D"/>
    <w:rsid w:val="001338E0"/>
    <w:rsid w:val="00134CBC"/>
    <w:rsid w:val="00135646"/>
    <w:rsid w:val="00136D5F"/>
    <w:rsid w:val="00136E49"/>
    <w:rsid w:val="00137274"/>
    <w:rsid w:val="00140099"/>
    <w:rsid w:val="0014070B"/>
    <w:rsid w:val="00140EE1"/>
    <w:rsid w:val="00141164"/>
    <w:rsid w:val="00141AF7"/>
    <w:rsid w:val="00142D46"/>
    <w:rsid w:val="00145707"/>
    <w:rsid w:val="0014616C"/>
    <w:rsid w:val="00151312"/>
    <w:rsid w:val="00152EEF"/>
    <w:rsid w:val="001556A7"/>
    <w:rsid w:val="001620C5"/>
    <w:rsid w:val="001634D8"/>
    <w:rsid w:val="001648C7"/>
    <w:rsid w:val="00170BDF"/>
    <w:rsid w:val="00170C7D"/>
    <w:rsid w:val="00172257"/>
    <w:rsid w:val="0017264E"/>
    <w:rsid w:val="001731B4"/>
    <w:rsid w:val="001737BB"/>
    <w:rsid w:val="00173F65"/>
    <w:rsid w:val="001748C8"/>
    <w:rsid w:val="0018089A"/>
    <w:rsid w:val="001810E8"/>
    <w:rsid w:val="00181B7E"/>
    <w:rsid w:val="00187B0F"/>
    <w:rsid w:val="00187D7E"/>
    <w:rsid w:val="00190292"/>
    <w:rsid w:val="00190BCA"/>
    <w:rsid w:val="00190C73"/>
    <w:rsid w:val="00194ABA"/>
    <w:rsid w:val="00196135"/>
    <w:rsid w:val="00196711"/>
    <w:rsid w:val="00196D10"/>
    <w:rsid w:val="001971E7"/>
    <w:rsid w:val="00197619"/>
    <w:rsid w:val="001A4824"/>
    <w:rsid w:val="001A4C25"/>
    <w:rsid w:val="001A4CC6"/>
    <w:rsid w:val="001A6467"/>
    <w:rsid w:val="001B193D"/>
    <w:rsid w:val="001B538C"/>
    <w:rsid w:val="001B6BF7"/>
    <w:rsid w:val="001B7756"/>
    <w:rsid w:val="001B776E"/>
    <w:rsid w:val="001C3018"/>
    <w:rsid w:val="001C3E36"/>
    <w:rsid w:val="001C3E8B"/>
    <w:rsid w:val="001C5CEC"/>
    <w:rsid w:val="001C6A32"/>
    <w:rsid w:val="001C6DED"/>
    <w:rsid w:val="001C78ED"/>
    <w:rsid w:val="001D4936"/>
    <w:rsid w:val="001E05AB"/>
    <w:rsid w:val="001E190C"/>
    <w:rsid w:val="001E199B"/>
    <w:rsid w:val="001E4B5C"/>
    <w:rsid w:val="001E5661"/>
    <w:rsid w:val="001E5A3F"/>
    <w:rsid w:val="001E6630"/>
    <w:rsid w:val="001E71B5"/>
    <w:rsid w:val="001E7F2D"/>
    <w:rsid w:val="001F1636"/>
    <w:rsid w:val="001F2265"/>
    <w:rsid w:val="001F22EB"/>
    <w:rsid w:val="001F6E1A"/>
    <w:rsid w:val="002006CF"/>
    <w:rsid w:val="002006D4"/>
    <w:rsid w:val="00201F53"/>
    <w:rsid w:val="00203BAE"/>
    <w:rsid w:val="002061C0"/>
    <w:rsid w:val="002064EB"/>
    <w:rsid w:val="00207042"/>
    <w:rsid w:val="00210A35"/>
    <w:rsid w:val="0021116B"/>
    <w:rsid w:val="00211A9B"/>
    <w:rsid w:val="002134BC"/>
    <w:rsid w:val="00214114"/>
    <w:rsid w:val="0021508D"/>
    <w:rsid w:val="0021588B"/>
    <w:rsid w:val="00216FB4"/>
    <w:rsid w:val="00217225"/>
    <w:rsid w:val="00222A48"/>
    <w:rsid w:val="00224364"/>
    <w:rsid w:val="0022552A"/>
    <w:rsid w:val="00231D64"/>
    <w:rsid w:val="00232E7C"/>
    <w:rsid w:val="002334B9"/>
    <w:rsid w:val="002367AF"/>
    <w:rsid w:val="00236D0E"/>
    <w:rsid w:val="00237931"/>
    <w:rsid w:val="002417C5"/>
    <w:rsid w:val="002446F3"/>
    <w:rsid w:val="002450D4"/>
    <w:rsid w:val="0024697A"/>
    <w:rsid w:val="00252A26"/>
    <w:rsid w:val="00252AC3"/>
    <w:rsid w:val="00252FC4"/>
    <w:rsid w:val="00253174"/>
    <w:rsid w:val="0025324B"/>
    <w:rsid w:val="00254AD8"/>
    <w:rsid w:val="002562F0"/>
    <w:rsid w:val="00256466"/>
    <w:rsid w:val="00257595"/>
    <w:rsid w:val="0026087D"/>
    <w:rsid w:val="0026155D"/>
    <w:rsid w:val="00262356"/>
    <w:rsid w:val="00265826"/>
    <w:rsid w:val="0026589B"/>
    <w:rsid w:val="00265B1E"/>
    <w:rsid w:val="00272740"/>
    <w:rsid w:val="00273C14"/>
    <w:rsid w:val="00273E16"/>
    <w:rsid w:val="00276B4F"/>
    <w:rsid w:val="00276C2E"/>
    <w:rsid w:val="00280B91"/>
    <w:rsid w:val="00282E05"/>
    <w:rsid w:val="002836B0"/>
    <w:rsid w:val="00283E12"/>
    <w:rsid w:val="00284E84"/>
    <w:rsid w:val="002873DF"/>
    <w:rsid w:val="002904D9"/>
    <w:rsid w:val="00291698"/>
    <w:rsid w:val="00291B35"/>
    <w:rsid w:val="0029390E"/>
    <w:rsid w:val="00295001"/>
    <w:rsid w:val="00296E24"/>
    <w:rsid w:val="00297686"/>
    <w:rsid w:val="002A0221"/>
    <w:rsid w:val="002A1087"/>
    <w:rsid w:val="002A220B"/>
    <w:rsid w:val="002A3F13"/>
    <w:rsid w:val="002A69E0"/>
    <w:rsid w:val="002B1960"/>
    <w:rsid w:val="002B564B"/>
    <w:rsid w:val="002B5FEE"/>
    <w:rsid w:val="002B7D29"/>
    <w:rsid w:val="002C0428"/>
    <w:rsid w:val="002C3EDE"/>
    <w:rsid w:val="002C445D"/>
    <w:rsid w:val="002C5C14"/>
    <w:rsid w:val="002C64AC"/>
    <w:rsid w:val="002C6699"/>
    <w:rsid w:val="002C68A2"/>
    <w:rsid w:val="002C6AEB"/>
    <w:rsid w:val="002D1AE4"/>
    <w:rsid w:val="002D2E6D"/>
    <w:rsid w:val="002D3445"/>
    <w:rsid w:val="002D345A"/>
    <w:rsid w:val="002D36A6"/>
    <w:rsid w:val="002D45FA"/>
    <w:rsid w:val="002D7636"/>
    <w:rsid w:val="002E270D"/>
    <w:rsid w:val="002E2A4F"/>
    <w:rsid w:val="002E5575"/>
    <w:rsid w:val="002E6D4B"/>
    <w:rsid w:val="002E7097"/>
    <w:rsid w:val="002E7ADB"/>
    <w:rsid w:val="002F0636"/>
    <w:rsid w:val="002F18F2"/>
    <w:rsid w:val="002F2151"/>
    <w:rsid w:val="002F3B17"/>
    <w:rsid w:val="00305369"/>
    <w:rsid w:val="00305C35"/>
    <w:rsid w:val="00310B58"/>
    <w:rsid w:val="0031135D"/>
    <w:rsid w:val="0031469E"/>
    <w:rsid w:val="003148C5"/>
    <w:rsid w:val="00315E86"/>
    <w:rsid w:val="00316349"/>
    <w:rsid w:val="00316ED2"/>
    <w:rsid w:val="003171F7"/>
    <w:rsid w:val="00320CB7"/>
    <w:rsid w:val="003212DA"/>
    <w:rsid w:val="00321C7C"/>
    <w:rsid w:val="00323E52"/>
    <w:rsid w:val="003249A2"/>
    <w:rsid w:val="00325620"/>
    <w:rsid w:val="00326185"/>
    <w:rsid w:val="003272FD"/>
    <w:rsid w:val="00327B3C"/>
    <w:rsid w:val="00331B7B"/>
    <w:rsid w:val="0033358F"/>
    <w:rsid w:val="00333F9D"/>
    <w:rsid w:val="0033487A"/>
    <w:rsid w:val="0033528A"/>
    <w:rsid w:val="00337291"/>
    <w:rsid w:val="00337DD3"/>
    <w:rsid w:val="00340435"/>
    <w:rsid w:val="0034058B"/>
    <w:rsid w:val="003434CB"/>
    <w:rsid w:val="00343D00"/>
    <w:rsid w:val="003452B6"/>
    <w:rsid w:val="00345A79"/>
    <w:rsid w:val="003472AF"/>
    <w:rsid w:val="00347EF6"/>
    <w:rsid w:val="00357CA1"/>
    <w:rsid w:val="003600D9"/>
    <w:rsid w:val="00361265"/>
    <w:rsid w:val="00361E79"/>
    <w:rsid w:val="00364AB3"/>
    <w:rsid w:val="0036520E"/>
    <w:rsid w:val="00365C02"/>
    <w:rsid w:val="003664F4"/>
    <w:rsid w:val="00371B09"/>
    <w:rsid w:val="003723EB"/>
    <w:rsid w:val="0037343B"/>
    <w:rsid w:val="00374423"/>
    <w:rsid w:val="00374693"/>
    <w:rsid w:val="00380397"/>
    <w:rsid w:val="00382B3A"/>
    <w:rsid w:val="00383130"/>
    <w:rsid w:val="0038627D"/>
    <w:rsid w:val="00386537"/>
    <w:rsid w:val="00387643"/>
    <w:rsid w:val="00387B48"/>
    <w:rsid w:val="00391D7E"/>
    <w:rsid w:val="00393A3D"/>
    <w:rsid w:val="00394391"/>
    <w:rsid w:val="00395662"/>
    <w:rsid w:val="0039764E"/>
    <w:rsid w:val="00397BB6"/>
    <w:rsid w:val="003A2389"/>
    <w:rsid w:val="003A4753"/>
    <w:rsid w:val="003A5698"/>
    <w:rsid w:val="003A5842"/>
    <w:rsid w:val="003A734C"/>
    <w:rsid w:val="003B0DEB"/>
    <w:rsid w:val="003B23E4"/>
    <w:rsid w:val="003B3E4F"/>
    <w:rsid w:val="003B41AB"/>
    <w:rsid w:val="003B4949"/>
    <w:rsid w:val="003B4BD1"/>
    <w:rsid w:val="003B56F5"/>
    <w:rsid w:val="003C0BFC"/>
    <w:rsid w:val="003C2E0C"/>
    <w:rsid w:val="003C4A18"/>
    <w:rsid w:val="003C4C3E"/>
    <w:rsid w:val="003C4E11"/>
    <w:rsid w:val="003C6559"/>
    <w:rsid w:val="003C65DA"/>
    <w:rsid w:val="003C6FFF"/>
    <w:rsid w:val="003C7F0E"/>
    <w:rsid w:val="003D172F"/>
    <w:rsid w:val="003D46F3"/>
    <w:rsid w:val="003D5949"/>
    <w:rsid w:val="003D72AB"/>
    <w:rsid w:val="003E0848"/>
    <w:rsid w:val="003E0E71"/>
    <w:rsid w:val="003E1192"/>
    <w:rsid w:val="003E1290"/>
    <w:rsid w:val="003E1AEC"/>
    <w:rsid w:val="003E39B4"/>
    <w:rsid w:val="003E3B87"/>
    <w:rsid w:val="003E3E76"/>
    <w:rsid w:val="003E5324"/>
    <w:rsid w:val="003E5F9D"/>
    <w:rsid w:val="003E7502"/>
    <w:rsid w:val="003E7610"/>
    <w:rsid w:val="003F2ACC"/>
    <w:rsid w:val="003F3030"/>
    <w:rsid w:val="003F37EA"/>
    <w:rsid w:val="003F63D1"/>
    <w:rsid w:val="00401573"/>
    <w:rsid w:val="00401968"/>
    <w:rsid w:val="00402786"/>
    <w:rsid w:val="0040366C"/>
    <w:rsid w:val="0040396D"/>
    <w:rsid w:val="004055E2"/>
    <w:rsid w:val="00406C3B"/>
    <w:rsid w:val="004070DE"/>
    <w:rsid w:val="004072BA"/>
    <w:rsid w:val="00407946"/>
    <w:rsid w:val="00410E68"/>
    <w:rsid w:val="0041129A"/>
    <w:rsid w:val="004119CD"/>
    <w:rsid w:val="00411BC9"/>
    <w:rsid w:val="004125A3"/>
    <w:rsid w:val="00413D3A"/>
    <w:rsid w:val="004149B9"/>
    <w:rsid w:val="004150C3"/>
    <w:rsid w:val="00415D1E"/>
    <w:rsid w:val="004162C3"/>
    <w:rsid w:val="00421A4E"/>
    <w:rsid w:val="004268C2"/>
    <w:rsid w:val="0042752F"/>
    <w:rsid w:val="0043196A"/>
    <w:rsid w:val="00432AD7"/>
    <w:rsid w:val="00432BAB"/>
    <w:rsid w:val="004336D5"/>
    <w:rsid w:val="00436F9D"/>
    <w:rsid w:val="00437FE6"/>
    <w:rsid w:val="0044217B"/>
    <w:rsid w:val="00442AC9"/>
    <w:rsid w:val="0044323C"/>
    <w:rsid w:val="00444434"/>
    <w:rsid w:val="0044448F"/>
    <w:rsid w:val="0044635C"/>
    <w:rsid w:val="004529BF"/>
    <w:rsid w:val="004538C9"/>
    <w:rsid w:val="00454A64"/>
    <w:rsid w:val="00456235"/>
    <w:rsid w:val="004564A9"/>
    <w:rsid w:val="0045658F"/>
    <w:rsid w:val="0045704B"/>
    <w:rsid w:val="00457242"/>
    <w:rsid w:val="0045772E"/>
    <w:rsid w:val="00457C95"/>
    <w:rsid w:val="00457C96"/>
    <w:rsid w:val="00461B12"/>
    <w:rsid w:val="00462233"/>
    <w:rsid w:val="004640BC"/>
    <w:rsid w:val="00464B1B"/>
    <w:rsid w:val="00464F43"/>
    <w:rsid w:val="00465578"/>
    <w:rsid w:val="004663FD"/>
    <w:rsid w:val="00470A88"/>
    <w:rsid w:val="004744B3"/>
    <w:rsid w:val="00474571"/>
    <w:rsid w:val="00475474"/>
    <w:rsid w:val="0047639D"/>
    <w:rsid w:val="004771B7"/>
    <w:rsid w:val="00477DC3"/>
    <w:rsid w:val="00477E3E"/>
    <w:rsid w:val="00481FE1"/>
    <w:rsid w:val="00482123"/>
    <w:rsid w:val="00482BA7"/>
    <w:rsid w:val="004851D9"/>
    <w:rsid w:val="00485FE3"/>
    <w:rsid w:val="00486111"/>
    <w:rsid w:val="0048645F"/>
    <w:rsid w:val="0048692D"/>
    <w:rsid w:val="00486CE6"/>
    <w:rsid w:val="00486E44"/>
    <w:rsid w:val="0049069B"/>
    <w:rsid w:val="00491F28"/>
    <w:rsid w:val="00492D96"/>
    <w:rsid w:val="00492F36"/>
    <w:rsid w:val="004972E5"/>
    <w:rsid w:val="00497569"/>
    <w:rsid w:val="004A0364"/>
    <w:rsid w:val="004A1550"/>
    <w:rsid w:val="004A4A6E"/>
    <w:rsid w:val="004A6940"/>
    <w:rsid w:val="004A6D8C"/>
    <w:rsid w:val="004A7746"/>
    <w:rsid w:val="004A7A0F"/>
    <w:rsid w:val="004A7FE8"/>
    <w:rsid w:val="004B1EC4"/>
    <w:rsid w:val="004B4825"/>
    <w:rsid w:val="004B4F04"/>
    <w:rsid w:val="004B693C"/>
    <w:rsid w:val="004B6D2F"/>
    <w:rsid w:val="004B7D61"/>
    <w:rsid w:val="004C0B6C"/>
    <w:rsid w:val="004C4333"/>
    <w:rsid w:val="004C5156"/>
    <w:rsid w:val="004C62FF"/>
    <w:rsid w:val="004C68AA"/>
    <w:rsid w:val="004C7788"/>
    <w:rsid w:val="004D0455"/>
    <w:rsid w:val="004D1652"/>
    <w:rsid w:val="004D5CB1"/>
    <w:rsid w:val="004E391A"/>
    <w:rsid w:val="004F0CFA"/>
    <w:rsid w:val="004F15B2"/>
    <w:rsid w:val="004F1CDC"/>
    <w:rsid w:val="004F767D"/>
    <w:rsid w:val="005002E0"/>
    <w:rsid w:val="005005C4"/>
    <w:rsid w:val="00500720"/>
    <w:rsid w:val="00501DE4"/>
    <w:rsid w:val="00501EEA"/>
    <w:rsid w:val="005025F2"/>
    <w:rsid w:val="00503491"/>
    <w:rsid w:val="00503932"/>
    <w:rsid w:val="005043E4"/>
    <w:rsid w:val="00505919"/>
    <w:rsid w:val="00505ABB"/>
    <w:rsid w:val="00505ADC"/>
    <w:rsid w:val="00507F61"/>
    <w:rsid w:val="005100B2"/>
    <w:rsid w:val="0051034F"/>
    <w:rsid w:val="00512C28"/>
    <w:rsid w:val="0051307B"/>
    <w:rsid w:val="005131A1"/>
    <w:rsid w:val="005148F8"/>
    <w:rsid w:val="00516EEB"/>
    <w:rsid w:val="0052482E"/>
    <w:rsid w:val="00527930"/>
    <w:rsid w:val="0053053B"/>
    <w:rsid w:val="00530C24"/>
    <w:rsid w:val="00530C70"/>
    <w:rsid w:val="0053144E"/>
    <w:rsid w:val="00533AAA"/>
    <w:rsid w:val="00534667"/>
    <w:rsid w:val="005351C5"/>
    <w:rsid w:val="005369FF"/>
    <w:rsid w:val="005404BF"/>
    <w:rsid w:val="00542C36"/>
    <w:rsid w:val="005431D9"/>
    <w:rsid w:val="0054689C"/>
    <w:rsid w:val="00551604"/>
    <w:rsid w:val="00552583"/>
    <w:rsid w:val="00554DA5"/>
    <w:rsid w:val="00557C9E"/>
    <w:rsid w:val="00557CCA"/>
    <w:rsid w:val="00560CA5"/>
    <w:rsid w:val="00562C63"/>
    <w:rsid w:val="0056349F"/>
    <w:rsid w:val="00563990"/>
    <w:rsid w:val="00563F48"/>
    <w:rsid w:val="0056441A"/>
    <w:rsid w:val="005674D8"/>
    <w:rsid w:val="00570956"/>
    <w:rsid w:val="005718AF"/>
    <w:rsid w:val="0057353D"/>
    <w:rsid w:val="0057538C"/>
    <w:rsid w:val="005755AC"/>
    <w:rsid w:val="005755EB"/>
    <w:rsid w:val="005774E4"/>
    <w:rsid w:val="00581196"/>
    <w:rsid w:val="005815EC"/>
    <w:rsid w:val="005828F6"/>
    <w:rsid w:val="005841B2"/>
    <w:rsid w:val="00584619"/>
    <w:rsid w:val="00586158"/>
    <w:rsid w:val="00586869"/>
    <w:rsid w:val="00587051"/>
    <w:rsid w:val="00587957"/>
    <w:rsid w:val="00590547"/>
    <w:rsid w:val="00591503"/>
    <w:rsid w:val="00592A7B"/>
    <w:rsid w:val="00597B67"/>
    <w:rsid w:val="005A04EA"/>
    <w:rsid w:val="005A0566"/>
    <w:rsid w:val="005A06EC"/>
    <w:rsid w:val="005A2466"/>
    <w:rsid w:val="005A2CF5"/>
    <w:rsid w:val="005A62C7"/>
    <w:rsid w:val="005A67AB"/>
    <w:rsid w:val="005A794B"/>
    <w:rsid w:val="005B0358"/>
    <w:rsid w:val="005B3C1D"/>
    <w:rsid w:val="005B4182"/>
    <w:rsid w:val="005B51E7"/>
    <w:rsid w:val="005B5C10"/>
    <w:rsid w:val="005B77EC"/>
    <w:rsid w:val="005C0644"/>
    <w:rsid w:val="005C2254"/>
    <w:rsid w:val="005C57CE"/>
    <w:rsid w:val="005D1DF3"/>
    <w:rsid w:val="005D2228"/>
    <w:rsid w:val="005D2FFC"/>
    <w:rsid w:val="005D3131"/>
    <w:rsid w:val="005D3A50"/>
    <w:rsid w:val="005D3D67"/>
    <w:rsid w:val="005D4475"/>
    <w:rsid w:val="005D557E"/>
    <w:rsid w:val="005D5CF2"/>
    <w:rsid w:val="005D61B4"/>
    <w:rsid w:val="005E0D3F"/>
    <w:rsid w:val="005E1A30"/>
    <w:rsid w:val="005E5988"/>
    <w:rsid w:val="005E61F2"/>
    <w:rsid w:val="005E6E27"/>
    <w:rsid w:val="005F120E"/>
    <w:rsid w:val="005F3778"/>
    <w:rsid w:val="005F3817"/>
    <w:rsid w:val="005F488B"/>
    <w:rsid w:val="005F6D7F"/>
    <w:rsid w:val="005F7D04"/>
    <w:rsid w:val="0060055C"/>
    <w:rsid w:val="00600C9F"/>
    <w:rsid w:val="006019DC"/>
    <w:rsid w:val="0060246F"/>
    <w:rsid w:val="006105F1"/>
    <w:rsid w:val="00610F0B"/>
    <w:rsid w:val="00611A60"/>
    <w:rsid w:val="006122FD"/>
    <w:rsid w:val="006124F0"/>
    <w:rsid w:val="0061259D"/>
    <w:rsid w:val="00613828"/>
    <w:rsid w:val="00614AB4"/>
    <w:rsid w:val="00614ABA"/>
    <w:rsid w:val="006177A9"/>
    <w:rsid w:val="00617B88"/>
    <w:rsid w:val="00626F9C"/>
    <w:rsid w:val="006309B5"/>
    <w:rsid w:val="00632692"/>
    <w:rsid w:val="00636DB6"/>
    <w:rsid w:val="00641569"/>
    <w:rsid w:val="0064329B"/>
    <w:rsid w:val="00643E6D"/>
    <w:rsid w:val="0064465F"/>
    <w:rsid w:val="00645A9D"/>
    <w:rsid w:val="00646393"/>
    <w:rsid w:val="006468B8"/>
    <w:rsid w:val="0065191D"/>
    <w:rsid w:val="006525A6"/>
    <w:rsid w:val="00654B48"/>
    <w:rsid w:val="006630FF"/>
    <w:rsid w:val="00664BE9"/>
    <w:rsid w:val="00665359"/>
    <w:rsid w:val="00670A97"/>
    <w:rsid w:val="00671D7C"/>
    <w:rsid w:val="00671E80"/>
    <w:rsid w:val="0067319F"/>
    <w:rsid w:val="0067470D"/>
    <w:rsid w:val="006752AE"/>
    <w:rsid w:val="006753EB"/>
    <w:rsid w:val="00675D5C"/>
    <w:rsid w:val="00676350"/>
    <w:rsid w:val="00677A63"/>
    <w:rsid w:val="00680FD9"/>
    <w:rsid w:val="00683881"/>
    <w:rsid w:val="00686311"/>
    <w:rsid w:val="006918AE"/>
    <w:rsid w:val="00691AE6"/>
    <w:rsid w:val="00692AC7"/>
    <w:rsid w:val="00693ACD"/>
    <w:rsid w:val="00693C53"/>
    <w:rsid w:val="0069539E"/>
    <w:rsid w:val="006955F1"/>
    <w:rsid w:val="00696BEA"/>
    <w:rsid w:val="006A0965"/>
    <w:rsid w:val="006A2DC2"/>
    <w:rsid w:val="006A469B"/>
    <w:rsid w:val="006A734C"/>
    <w:rsid w:val="006B1268"/>
    <w:rsid w:val="006B207F"/>
    <w:rsid w:val="006B2080"/>
    <w:rsid w:val="006B3608"/>
    <w:rsid w:val="006B4EEB"/>
    <w:rsid w:val="006B514E"/>
    <w:rsid w:val="006C02CB"/>
    <w:rsid w:val="006C0DE0"/>
    <w:rsid w:val="006C129E"/>
    <w:rsid w:val="006C1A43"/>
    <w:rsid w:val="006C4074"/>
    <w:rsid w:val="006C53E4"/>
    <w:rsid w:val="006C6532"/>
    <w:rsid w:val="006C6554"/>
    <w:rsid w:val="006D094F"/>
    <w:rsid w:val="006D2807"/>
    <w:rsid w:val="006D5370"/>
    <w:rsid w:val="006D5A15"/>
    <w:rsid w:val="006D6E65"/>
    <w:rsid w:val="006E07EB"/>
    <w:rsid w:val="006E15D1"/>
    <w:rsid w:val="006F0A4D"/>
    <w:rsid w:val="006F1CF9"/>
    <w:rsid w:val="006F484B"/>
    <w:rsid w:val="00701685"/>
    <w:rsid w:val="00702FAC"/>
    <w:rsid w:val="00707584"/>
    <w:rsid w:val="00710D9C"/>
    <w:rsid w:val="007125AE"/>
    <w:rsid w:val="00712AB6"/>
    <w:rsid w:val="0071313F"/>
    <w:rsid w:val="00713F07"/>
    <w:rsid w:val="007171A2"/>
    <w:rsid w:val="007174C7"/>
    <w:rsid w:val="00720B2F"/>
    <w:rsid w:val="007217B6"/>
    <w:rsid w:val="00724B33"/>
    <w:rsid w:val="00725290"/>
    <w:rsid w:val="00726853"/>
    <w:rsid w:val="00726C06"/>
    <w:rsid w:val="007274E0"/>
    <w:rsid w:val="00727FDB"/>
    <w:rsid w:val="0073644B"/>
    <w:rsid w:val="0073782D"/>
    <w:rsid w:val="00737C16"/>
    <w:rsid w:val="00741A38"/>
    <w:rsid w:val="0074354F"/>
    <w:rsid w:val="00743A46"/>
    <w:rsid w:val="00751F81"/>
    <w:rsid w:val="0075594D"/>
    <w:rsid w:val="007569CE"/>
    <w:rsid w:val="0076349A"/>
    <w:rsid w:val="00764C63"/>
    <w:rsid w:val="00765EED"/>
    <w:rsid w:val="007669D8"/>
    <w:rsid w:val="00771038"/>
    <w:rsid w:val="00771D1D"/>
    <w:rsid w:val="007738C2"/>
    <w:rsid w:val="00774450"/>
    <w:rsid w:val="00776B82"/>
    <w:rsid w:val="007806DA"/>
    <w:rsid w:val="00780AD5"/>
    <w:rsid w:val="0078189C"/>
    <w:rsid w:val="00782DCB"/>
    <w:rsid w:val="007842E3"/>
    <w:rsid w:val="0078485F"/>
    <w:rsid w:val="007877DD"/>
    <w:rsid w:val="007878C2"/>
    <w:rsid w:val="00791327"/>
    <w:rsid w:val="007919D1"/>
    <w:rsid w:val="00794CA2"/>
    <w:rsid w:val="007958B9"/>
    <w:rsid w:val="00796A7D"/>
    <w:rsid w:val="00796AC4"/>
    <w:rsid w:val="007972FE"/>
    <w:rsid w:val="007A11DE"/>
    <w:rsid w:val="007A1C99"/>
    <w:rsid w:val="007A2425"/>
    <w:rsid w:val="007A37DA"/>
    <w:rsid w:val="007A3BDD"/>
    <w:rsid w:val="007A77EE"/>
    <w:rsid w:val="007A7B97"/>
    <w:rsid w:val="007B0553"/>
    <w:rsid w:val="007B1E88"/>
    <w:rsid w:val="007B260F"/>
    <w:rsid w:val="007B5F70"/>
    <w:rsid w:val="007C080D"/>
    <w:rsid w:val="007C13E1"/>
    <w:rsid w:val="007C37EA"/>
    <w:rsid w:val="007C559E"/>
    <w:rsid w:val="007C6411"/>
    <w:rsid w:val="007C7CF4"/>
    <w:rsid w:val="007D017D"/>
    <w:rsid w:val="007D0A42"/>
    <w:rsid w:val="007D1FD1"/>
    <w:rsid w:val="007D2BBF"/>
    <w:rsid w:val="007D2E1F"/>
    <w:rsid w:val="007D32F3"/>
    <w:rsid w:val="007D3516"/>
    <w:rsid w:val="007D3E50"/>
    <w:rsid w:val="007D4178"/>
    <w:rsid w:val="007D4323"/>
    <w:rsid w:val="007D5FB3"/>
    <w:rsid w:val="007D68E9"/>
    <w:rsid w:val="007D74A0"/>
    <w:rsid w:val="007D7B16"/>
    <w:rsid w:val="007E1528"/>
    <w:rsid w:val="007E292F"/>
    <w:rsid w:val="007E2B80"/>
    <w:rsid w:val="007E4893"/>
    <w:rsid w:val="007F0907"/>
    <w:rsid w:val="007F1A06"/>
    <w:rsid w:val="007F5250"/>
    <w:rsid w:val="007F712B"/>
    <w:rsid w:val="007F75C8"/>
    <w:rsid w:val="007F76E0"/>
    <w:rsid w:val="00800377"/>
    <w:rsid w:val="008008F5"/>
    <w:rsid w:val="008040E0"/>
    <w:rsid w:val="00810A1E"/>
    <w:rsid w:val="00810D0E"/>
    <w:rsid w:val="008117E4"/>
    <w:rsid w:val="008141B2"/>
    <w:rsid w:val="00815372"/>
    <w:rsid w:val="008159B3"/>
    <w:rsid w:val="00817E0D"/>
    <w:rsid w:val="00817E48"/>
    <w:rsid w:val="00821257"/>
    <w:rsid w:val="00821E1D"/>
    <w:rsid w:val="00823D65"/>
    <w:rsid w:val="0082439C"/>
    <w:rsid w:val="008243E7"/>
    <w:rsid w:val="008309FF"/>
    <w:rsid w:val="00831EC6"/>
    <w:rsid w:val="008341FA"/>
    <w:rsid w:val="00834B23"/>
    <w:rsid w:val="00834FB1"/>
    <w:rsid w:val="008354A8"/>
    <w:rsid w:val="00835604"/>
    <w:rsid w:val="00835DBD"/>
    <w:rsid w:val="00840C24"/>
    <w:rsid w:val="008413CB"/>
    <w:rsid w:val="008419A9"/>
    <w:rsid w:val="0084289E"/>
    <w:rsid w:val="00843ADF"/>
    <w:rsid w:val="00850D45"/>
    <w:rsid w:val="00851282"/>
    <w:rsid w:val="00853045"/>
    <w:rsid w:val="0085388C"/>
    <w:rsid w:val="00853928"/>
    <w:rsid w:val="0085429F"/>
    <w:rsid w:val="00856CB2"/>
    <w:rsid w:val="00857420"/>
    <w:rsid w:val="00857952"/>
    <w:rsid w:val="008622F1"/>
    <w:rsid w:val="008634FB"/>
    <w:rsid w:val="0086423D"/>
    <w:rsid w:val="0086449C"/>
    <w:rsid w:val="0086499D"/>
    <w:rsid w:val="008656A6"/>
    <w:rsid w:val="00865711"/>
    <w:rsid w:val="00865EB4"/>
    <w:rsid w:val="0087098B"/>
    <w:rsid w:val="00870A20"/>
    <w:rsid w:val="00870DF2"/>
    <w:rsid w:val="00873C4F"/>
    <w:rsid w:val="00875135"/>
    <w:rsid w:val="008807D9"/>
    <w:rsid w:val="00882374"/>
    <w:rsid w:val="0088382A"/>
    <w:rsid w:val="00883A31"/>
    <w:rsid w:val="00884EE4"/>
    <w:rsid w:val="0088543A"/>
    <w:rsid w:val="0088590B"/>
    <w:rsid w:val="00891A13"/>
    <w:rsid w:val="00895FEB"/>
    <w:rsid w:val="0089641A"/>
    <w:rsid w:val="0089716B"/>
    <w:rsid w:val="00897B20"/>
    <w:rsid w:val="008A5503"/>
    <w:rsid w:val="008A582F"/>
    <w:rsid w:val="008A5BF9"/>
    <w:rsid w:val="008A64E9"/>
    <w:rsid w:val="008B085C"/>
    <w:rsid w:val="008B2581"/>
    <w:rsid w:val="008B4A79"/>
    <w:rsid w:val="008C25F9"/>
    <w:rsid w:val="008C2687"/>
    <w:rsid w:val="008C292E"/>
    <w:rsid w:val="008C3062"/>
    <w:rsid w:val="008C4AD8"/>
    <w:rsid w:val="008C502C"/>
    <w:rsid w:val="008C506A"/>
    <w:rsid w:val="008C6C3B"/>
    <w:rsid w:val="008C70FD"/>
    <w:rsid w:val="008D08F4"/>
    <w:rsid w:val="008D0E85"/>
    <w:rsid w:val="008D2A06"/>
    <w:rsid w:val="008D391A"/>
    <w:rsid w:val="008D42A2"/>
    <w:rsid w:val="008D63BF"/>
    <w:rsid w:val="008D6F77"/>
    <w:rsid w:val="008D7578"/>
    <w:rsid w:val="008E00C2"/>
    <w:rsid w:val="008E0A89"/>
    <w:rsid w:val="008E2E38"/>
    <w:rsid w:val="008E3011"/>
    <w:rsid w:val="008E496D"/>
    <w:rsid w:val="008E521B"/>
    <w:rsid w:val="008E720D"/>
    <w:rsid w:val="008F3AFE"/>
    <w:rsid w:val="008F53FE"/>
    <w:rsid w:val="009030EE"/>
    <w:rsid w:val="00903F9C"/>
    <w:rsid w:val="00905E42"/>
    <w:rsid w:val="0091090D"/>
    <w:rsid w:val="00914E4C"/>
    <w:rsid w:val="009155BC"/>
    <w:rsid w:val="00917C3B"/>
    <w:rsid w:val="00920E6B"/>
    <w:rsid w:val="009231B8"/>
    <w:rsid w:val="00924D9B"/>
    <w:rsid w:val="0092610D"/>
    <w:rsid w:val="009262A7"/>
    <w:rsid w:val="00926CE5"/>
    <w:rsid w:val="00932741"/>
    <w:rsid w:val="00934EC0"/>
    <w:rsid w:val="0093734B"/>
    <w:rsid w:val="00940989"/>
    <w:rsid w:val="0094239B"/>
    <w:rsid w:val="0094268A"/>
    <w:rsid w:val="00943469"/>
    <w:rsid w:val="00946669"/>
    <w:rsid w:val="00950B95"/>
    <w:rsid w:val="009520B5"/>
    <w:rsid w:val="009540BE"/>
    <w:rsid w:val="00960880"/>
    <w:rsid w:val="0096206C"/>
    <w:rsid w:val="009620F1"/>
    <w:rsid w:val="00963112"/>
    <w:rsid w:val="0096492C"/>
    <w:rsid w:val="00964CEE"/>
    <w:rsid w:val="009657B8"/>
    <w:rsid w:val="009665A9"/>
    <w:rsid w:val="00966FD8"/>
    <w:rsid w:val="00967B25"/>
    <w:rsid w:val="00967B61"/>
    <w:rsid w:val="00967E8E"/>
    <w:rsid w:val="00971534"/>
    <w:rsid w:val="00971F09"/>
    <w:rsid w:val="009721F1"/>
    <w:rsid w:val="00973D41"/>
    <w:rsid w:val="00973DE0"/>
    <w:rsid w:val="009773F9"/>
    <w:rsid w:val="00980EED"/>
    <w:rsid w:val="009848F2"/>
    <w:rsid w:val="00984B54"/>
    <w:rsid w:val="00987E09"/>
    <w:rsid w:val="00990EA7"/>
    <w:rsid w:val="00996714"/>
    <w:rsid w:val="00997045"/>
    <w:rsid w:val="009A075A"/>
    <w:rsid w:val="009A3ED4"/>
    <w:rsid w:val="009A7EB0"/>
    <w:rsid w:val="009B12D0"/>
    <w:rsid w:val="009B1824"/>
    <w:rsid w:val="009B5F0B"/>
    <w:rsid w:val="009B686A"/>
    <w:rsid w:val="009B6CE0"/>
    <w:rsid w:val="009B70A2"/>
    <w:rsid w:val="009C329F"/>
    <w:rsid w:val="009C34FF"/>
    <w:rsid w:val="009C37E6"/>
    <w:rsid w:val="009C4880"/>
    <w:rsid w:val="009C4AEB"/>
    <w:rsid w:val="009C5561"/>
    <w:rsid w:val="009C6FDA"/>
    <w:rsid w:val="009D07C3"/>
    <w:rsid w:val="009D122E"/>
    <w:rsid w:val="009D1582"/>
    <w:rsid w:val="009D1BAD"/>
    <w:rsid w:val="009D2840"/>
    <w:rsid w:val="009D29E3"/>
    <w:rsid w:val="009D3631"/>
    <w:rsid w:val="009D3C16"/>
    <w:rsid w:val="009D5E70"/>
    <w:rsid w:val="009D5EBC"/>
    <w:rsid w:val="009D6F81"/>
    <w:rsid w:val="009E1546"/>
    <w:rsid w:val="009E4151"/>
    <w:rsid w:val="009E7F68"/>
    <w:rsid w:val="009F3085"/>
    <w:rsid w:val="00A00808"/>
    <w:rsid w:val="00A02D67"/>
    <w:rsid w:val="00A04385"/>
    <w:rsid w:val="00A046F8"/>
    <w:rsid w:val="00A0501E"/>
    <w:rsid w:val="00A14696"/>
    <w:rsid w:val="00A153C0"/>
    <w:rsid w:val="00A176E7"/>
    <w:rsid w:val="00A20F24"/>
    <w:rsid w:val="00A21015"/>
    <w:rsid w:val="00A21345"/>
    <w:rsid w:val="00A23D26"/>
    <w:rsid w:val="00A2453B"/>
    <w:rsid w:val="00A2752F"/>
    <w:rsid w:val="00A27A5E"/>
    <w:rsid w:val="00A3057E"/>
    <w:rsid w:val="00A30E5E"/>
    <w:rsid w:val="00A3117E"/>
    <w:rsid w:val="00A3227F"/>
    <w:rsid w:val="00A32CA6"/>
    <w:rsid w:val="00A3328C"/>
    <w:rsid w:val="00A3515F"/>
    <w:rsid w:val="00A351B0"/>
    <w:rsid w:val="00A37A84"/>
    <w:rsid w:val="00A40C56"/>
    <w:rsid w:val="00A5406A"/>
    <w:rsid w:val="00A545F1"/>
    <w:rsid w:val="00A54FA2"/>
    <w:rsid w:val="00A55328"/>
    <w:rsid w:val="00A55DDC"/>
    <w:rsid w:val="00A57A46"/>
    <w:rsid w:val="00A57A5B"/>
    <w:rsid w:val="00A60241"/>
    <w:rsid w:val="00A61D41"/>
    <w:rsid w:val="00A61EB4"/>
    <w:rsid w:val="00A6415E"/>
    <w:rsid w:val="00A651B1"/>
    <w:rsid w:val="00A65AAE"/>
    <w:rsid w:val="00A675CE"/>
    <w:rsid w:val="00A70124"/>
    <w:rsid w:val="00A71F0F"/>
    <w:rsid w:val="00A72154"/>
    <w:rsid w:val="00A734FF"/>
    <w:rsid w:val="00A75390"/>
    <w:rsid w:val="00A75396"/>
    <w:rsid w:val="00A75FDE"/>
    <w:rsid w:val="00A805DF"/>
    <w:rsid w:val="00A8598B"/>
    <w:rsid w:val="00A85B83"/>
    <w:rsid w:val="00A86A2A"/>
    <w:rsid w:val="00A87DBF"/>
    <w:rsid w:val="00A91B59"/>
    <w:rsid w:val="00A92E17"/>
    <w:rsid w:val="00A96A61"/>
    <w:rsid w:val="00AA035E"/>
    <w:rsid w:val="00AA238F"/>
    <w:rsid w:val="00AA313B"/>
    <w:rsid w:val="00AA5578"/>
    <w:rsid w:val="00AA5DC2"/>
    <w:rsid w:val="00AA75D3"/>
    <w:rsid w:val="00AA77DC"/>
    <w:rsid w:val="00AB12FF"/>
    <w:rsid w:val="00AB2A21"/>
    <w:rsid w:val="00AB7ABD"/>
    <w:rsid w:val="00AC0A30"/>
    <w:rsid w:val="00AC0F69"/>
    <w:rsid w:val="00AC32B2"/>
    <w:rsid w:val="00AC33BC"/>
    <w:rsid w:val="00AC6DDA"/>
    <w:rsid w:val="00AD10D2"/>
    <w:rsid w:val="00AD44B5"/>
    <w:rsid w:val="00AD4BE9"/>
    <w:rsid w:val="00AD7C6B"/>
    <w:rsid w:val="00AE0099"/>
    <w:rsid w:val="00AE16BC"/>
    <w:rsid w:val="00AE2798"/>
    <w:rsid w:val="00AE3D1B"/>
    <w:rsid w:val="00AE491C"/>
    <w:rsid w:val="00AF0FB1"/>
    <w:rsid w:val="00AF3C43"/>
    <w:rsid w:val="00AF3D0A"/>
    <w:rsid w:val="00AF4756"/>
    <w:rsid w:val="00AF69C3"/>
    <w:rsid w:val="00AF787D"/>
    <w:rsid w:val="00B00F79"/>
    <w:rsid w:val="00B01844"/>
    <w:rsid w:val="00B03DC5"/>
    <w:rsid w:val="00B03F39"/>
    <w:rsid w:val="00B04BD9"/>
    <w:rsid w:val="00B06F6A"/>
    <w:rsid w:val="00B14DAD"/>
    <w:rsid w:val="00B15201"/>
    <w:rsid w:val="00B17110"/>
    <w:rsid w:val="00B2120F"/>
    <w:rsid w:val="00B21ED0"/>
    <w:rsid w:val="00B23412"/>
    <w:rsid w:val="00B2369D"/>
    <w:rsid w:val="00B23807"/>
    <w:rsid w:val="00B23F1E"/>
    <w:rsid w:val="00B26BD5"/>
    <w:rsid w:val="00B26D88"/>
    <w:rsid w:val="00B27E56"/>
    <w:rsid w:val="00B3528C"/>
    <w:rsid w:val="00B36A0E"/>
    <w:rsid w:val="00B37212"/>
    <w:rsid w:val="00B4197A"/>
    <w:rsid w:val="00B42CB7"/>
    <w:rsid w:val="00B453BD"/>
    <w:rsid w:val="00B45B4B"/>
    <w:rsid w:val="00B47033"/>
    <w:rsid w:val="00B500BF"/>
    <w:rsid w:val="00B513AD"/>
    <w:rsid w:val="00B51442"/>
    <w:rsid w:val="00B525B5"/>
    <w:rsid w:val="00B54FCF"/>
    <w:rsid w:val="00B56205"/>
    <w:rsid w:val="00B56D53"/>
    <w:rsid w:val="00B60981"/>
    <w:rsid w:val="00B6121A"/>
    <w:rsid w:val="00B61393"/>
    <w:rsid w:val="00B633A3"/>
    <w:rsid w:val="00B648F5"/>
    <w:rsid w:val="00B66F24"/>
    <w:rsid w:val="00B672FD"/>
    <w:rsid w:val="00B703B6"/>
    <w:rsid w:val="00B75B51"/>
    <w:rsid w:val="00B802D4"/>
    <w:rsid w:val="00B80358"/>
    <w:rsid w:val="00B80609"/>
    <w:rsid w:val="00B82432"/>
    <w:rsid w:val="00B83CBD"/>
    <w:rsid w:val="00B842B7"/>
    <w:rsid w:val="00B8618C"/>
    <w:rsid w:val="00B9400D"/>
    <w:rsid w:val="00B95427"/>
    <w:rsid w:val="00B9628D"/>
    <w:rsid w:val="00B96710"/>
    <w:rsid w:val="00BA3963"/>
    <w:rsid w:val="00BA73E0"/>
    <w:rsid w:val="00BB0D0B"/>
    <w:rsid w:val="00BB222D"/>
    <w:rsid w:val="00BB274A"/>
    <w:rsid w:val="00BB2BC6"/>
    <w:rsid w:val="00BB3CF9"/>
    <w:rsid w:val="00BB3DE7"/>
    <w:rsid w:val="00BB7DDA"/>
    <w:rsid w:val="00BC1359"/>
    <w:rsid w:val="00BC1E27"/>
    <w:rsid w:val="00BC382C"/>
    <w:rsid w:val="00BC3B86"/>
    <w:rsid w:val="00BC408C"/>
    <w:rsid w:val="00BC4E9F"/>
    <w:rsid w:val="00BC6065"/>
    <w:rsid w:val="00BC72BE"/>
    <w:rsid w:val="00BD0D16"/>
    <w:rsid w:val="00BD1A8E"/>
    <w:rsid w:val="00BD2C3F"/>
    <w:rsid w:val="00BD30BF"/>
    <w:rsid w:val="00BD3A8B"/>
    <w:rsid w:val="00BD3DD8"/>
    <w:rsid w:val="00BD5326"/>
    <w:rsid w:val="00BD696C"/>
    <w:rsid w:val="00BD7A4C"/>
    <w:rsid w:val="00BE1C3D"/>
    <w:rsid w:val="00BE1D6C"/>
    <w:rsid w:val="00BE29C8"/>
    <w:rsid w:val="00BE2C4F"/>
    <w:rsid w:val="00BE692A"/>
    <w:rsid w:val="00BE6A07"/>
    <w:rsid w:val="00BF20D7"/>
    <w:rsid w:val="00BF4CA8"/>
    <w:rsid w:val="00BF52F2"/>
    <w:rsid w:val="00BF5C60"/>
    <w:rsid w:val="00BF73DC"/>
    <w:rsid w:val="00BF7A31"/>
    <w:rsid w:val="00C021F3"/>
    <w:rsid w:val="00C0302A"/>
    <w:rsid w:val="00C03AA5"/>
    <w:rsid w:val="00C05600"/>
    <w:rsid w:val="00C104AB"/>
    <w:rsid w:val="00C1079D"/>
    <w:rsid w:val="00C12568"/>
    <w:rsid w:val="00C16E26"/>
    <w:rsid w:val="00C2118A"/>
    <w:rsid w:val="00C21FFB"/>
    <w:rsid w:val="00C23390"/>
    <w:rsid w:val="00C234D2"/>
    <w:rsid w:val="00C24923"/>
    <w:rsid w:val="00C24AAE"/>
    <w:rsid w:val="00C2520F"/>
    <w:rsid w:val="00C257BC"/>
    <w:rsid w:val="00C27B54"/>
    <w:rsid w:val="00C27BAA"/>
    <w:rsid w:val="00C30986"/>
    <w:rsid w:val="00C3215D"/>
    <w:rsid w:val="00C32CD1"/>
    <w:rsid w:val="00C34FF2"/>
    <w:rsid w:val="00C35A94"/>
    <w:rsid w:val="00C374A9"/>
    <w:rsid w:val="00C37C4E"/>
    <w:rsid w:val="00C40587"/>
    <w:rsid w:val="00C415BB"/>
    <w:rsid w:val="00C427CB"/>
    <w:rsid w:val="00C446DF"/>
    <w:rsid w:val="00C456DE"/>
    <w:rsid w:val="00C504F6"/>
    <w:rsid w:val="00C511D9"/>
    <w:rsid w:val="00C548EC"/>
    <w:rsid w:val="00C57114"/>
    <w:rsid w:val="00C62F2D"/>
    <w:rsid w:val="00C64A08"/>
    <w:rsid w:val="00C65C80"/>
    <w:rsid w:val="00C717DB"/>
    <w:rsid w:val="00C72FDC"/>
    <w:rsid w:val="00C7490C"/>
    <w:rsid w:val="00C77F43"/>
    <w:rsid w:val="00C819E4"/>
    <w:rsid w:val="00C81BEC"/>
    <w:rsid w:val="00C856CC"/>
    <w:rsid w:val="00C90035"/>
    <w:rsid w:val="00C92E0B"/>
    <w:rsid w:val="00C9432F"/>
    <w:rsid w:val="00C943CB"/>
    <w:rsid w:val="00C94681"/>
    <w:rsid w:val="00C95CD9"/>
    <w:rsid w:val="00C95EA4"/>
    <w:rsid w:val="00C96972"/>
    <w:rsid w:val="00C96D17"/>
    <w:rsid w:val="00C974CA"/>
    <w:rsid w:val="00C97C6C"/>
    <w:rsid w:val="00CA376A"/>
    <w:rsid w:val="00CA4BB8"/>
    <w:rsid w:val="00CA4CB7"/>
    <w:rsid w:val="00CA5475"/>
    <w:rsid w:val="00CA67B2"/>
    <w:rsid w:val="00CA69F6"/>
    <w:rsid w:val="00CA788C"/>
    <w:rsid w:val="00CB08A2"/>
    <w:rsid w:val="00CB0ADA"/>
    <w:rsid w:val="00CB0D58"/>
    <w:rsid w:val="00CB141D"/>
    <w:rsid w:val="00CB14D5"/>
    <w:rsid w:val="00CB3630"/>
    <w:rsid w:val="00CB3975"/>
    <w:rsid w:val="00CB47E8"/>
    <w:rsid w:val="00CB72DD"/>
    <w:rsid w:val="00CC0FC4"/>
    <w:rsid w:val="00CC48E2"/>
    <w:rsid w:val="00CC629A"/>
    <w:rsid w:val="00CD1BCC"/>
    <w:rsid w:val="00CD1E9B"/>
    <w:rsid w:val="00CD2189"/>
    <w:rsid w:val="00CD2B1A"/>
    <w:rsid w:val="00CD355E"/>
    <w:rsid w:val="00CD376A"/>
    <w:rsid w:val="00CD62DE"/>
    <w:rsid w:val="00CD6491"/>
    <w:rsid w:val="00CD7ABA"/>
    <w:rsid w:val="00CD7C77"/>
    <w:rsid w:val="00CE1EC6"/>
    <w:rsid w:val="00CE31A6"/>
    <w:rsid w:val="00CE709C"/>
    <w:rsid w:val="00CE79C3"/>
    <w:rsid w:val="00CE7A10"/>
    <w:rsid w:val="00CF2B47"/>
    <w:rsid w:val="00CF480B"/>
    <w:rsid w:val="00CF5B9C"/>
    <w:rsid w:val="00CF760F"/>
    <w:rsid w:val="00D000AE"/>
    <w:rsid w:val="00D00CBF"/>
    <w:rsid w:val="00D0207B"/>
    <w:rsid w:val="00D06459"/>
    <w:rsid w:val="00D07B57"/>
    <w:rsid w:val="00D10C73"/>
    <w:rsid w:val="00D11543"/>
    <w:rsid w:val="00D20ED1"/>
    <w:rsid w:val="00D21EC0"/>
    <w:rsid w:val="00D22500"/>
    <w:rsid w:val="00D238FF"/>
    <w:rsid w:val="00D272D6"/>
    <w:rsid w:val="00D30E97"/>
    <w:rsid w:val="00D33ED4"/>
    <w:rsid w:val="00D3546A"/>
    <w:rsid w:val="00D35C78"/>
    <w:rsid w:val="00D36B98"/>
    <w:rsid w:val="00D36E0C"/>
    <w:rsid w:val="00D40069"/>
    <w:rsid w:val="00D434BC"/>
    <w:rsid w:val="00D43699"/>
    <w:rsid w:val="00D45F72"/>
    <w:rsid w:val="00D467B3"/>
    <w:rsid w:val="00D46B0A"/>
    <w:rsid w:val="00D50473"/>
    <w:rsid w:val="00D506FE"/>
    <w:rsid w:val="00D51990"/>
    <w:rsid w:val="00D521CA"/>
    <w:rsid w:val="00D56CD6"/>
    <w:rsid w:val="00D60662"/>
    <w:rsid w:val="00D61033"/>
    <w:rsid w:val="00D61EC3"/>
    <w:rsid w:val="00D6377D"/>
    <w:rsid w:val="00D63B11"/>
    <w:rsid w:val="00D660E1"/>
    <w:rsid w:val="00D66664"/>
    <w:rsid w:val="00D725E8"/>
    <w:rsid w:val="00D73BAB"/>
    <w:rsid w:val="00D73E06"/>
    <w:rsid w:val="00D74C54"/>
    <w:rsid w:val="00D75BC8"/>
    <w:rsid w:val="00D765E1"/>
    <w:rsid w:val="00D7690D"/>
    <w:rsid w:val="00D80C9F"/>
    <w:rsid w:val="00D839AC"/>
    <w:rsid w:val="00D842AB"/>
    <w:rsid w:val="00D93584"/>
    <w:rsid w:val="00D935C5"/>
    <w:rsid w:val="00D94809"/>
    <w:rsid w:val="00D94B01"/>
    <w:rsid w:val="00D972DC"/>
    <w:rsid w:val="00DA2339"/>
    <w:rsid w:val="00DA2C50"/>
    <w:rsid w:val="00DA33D4"/>
    <w:rsid w:val="00DA66AE"/>
    <w:rsid w:val="00DA6CDD"/>
    <w:rsid w:val="00DB01B7"/>
    <w:rsid w:val="00DB26D8"/>
    <w:rsid w:val="00DB4147"/>
    <w:rsid w:val="00DB43A4"/>
    <w:rsid w:val="00DB49ED"/>
    <w:rsid w:val="00DB4D48"/>
    <w:rsid w:val="00DB564A"/>
    <w:rsid w:val="00DB576A"/>
    <w:rsid w:val="00DB7297"/>
    <w:rsid w:val="00DC24BB"/>
    <w:rsid w:val="00DC3142"/>
    <w:rsid w:val="00DC3755"/>
    <w:rsid w:val="00DC3A15"/>
    <w:rsid w:val="00DC4395"/>
    <w:rsid w:val="00DC5FE6"/>
    <w:rsid w:val="00DC6E68"/>
    <w:rsid w:val="00DD04C2"/>
    <w:rsid w:val="00DD09AB"/>
    <w:rsid w:val="00DD17A0"/>
    <w:rsid w:val="00DD34B2"/>
    <w:rsid w:val="00DD42AA"/>
    <w:rsid w:val="00DD755F"/>
    <w:rsid w:val="00DE0C49"/>
    <w:rsid w:val="00DE0F86"/>
    <w:rsid w:val="00DE56A1"/>
    <w:rsid w:val="00DE6AE0"/>
    <w:rsid w:val="00DF0E19"/>
    <w:rsid w:val="00DF1F6C"/>
    <w:rsid w:val="00E02374"/>
    <w:rsid w:val="00E025C3"/>
    <w:rsid w:val="00E02623"/>
    <w:rsid w:val="00E0410E"/>
    <w:rsid w:val="00E06193"/>
    <w:rsid w:val="00E06BB6"/>
    <w:rsid w:val="00E07C80"/>
    <w:rsid w:val="00E07C84"/>
    <w:rsid w:val="00E07FD9"/>
    <w:rsid w:val="00E1043B"/>
    <w:rsid w:val="00E12F45"/>
    <w:rsid w:val="00E22774"/>
    <w:rsid w:val="00E22D25"/>
    <w:rsid w:val="00E23BFD"/>
    <w:rsid w:val="00E24213"/>
    <w:rsid w:val="00E26124"/>
    <w:rsid w:val="00E2763A"/>
    <w:rsid w:val="00E32788"/>
    <w:rsid w:val="00E33246"/>
    <w:rsid w:val="00E339C5"/>
    <w:rsid w:val="00E33AEC"/>
    <w:rsid w:val="00E352A3"/>
    <w:rsid w:val="00E35973"/>
    <w:rsid w:val="00E36281"/>
    <w:rsid w:val="00E37981"/>
    <w:rsid w:val="00E424F5"/>
    <w:rsid w:val="00E431CE"/>
    <w:rsid w:val="00E433AA"/>
    <w:rsid w:val="00E4476B"/>
    <w:rsid w:val="00E45341"/>
    <w:rsid w:val="00E453B4"/>
    <w:rsid w:val="00E4597C"/>
    <w:rsid w:val="00E47136"/>
    <w:rsid w:val="00E51533"/>
    <w:rsid w:val="00E535E3"/>
    <w:rsid w:val="00E57C8F"/>
    <w:rsid w:val="00E61D47"/>
    <w:rsid w:val="00E61F70"/>
    <w:rsid w:val="00E63A8D"/>
    <w:rsid w:val="00E64153"/>
    <w:rsid w:val="00E65070"/>
    <w:rsid w:val="00E656EB"/>
    <w:rsid w:val="00E65DB2"/>
    <w:rsid w:val="00E65F50"/>
    <w:rsid w:val="00E65FEA"/>
    <w:rsid w:val="00E6637D"/>
    <w:rsid w:val="00E708A7"/>
    <w:rsid w:val="00E71070"/>
    <w:rsid w:val="00E71C55"/>
    <w:rsid w:val="00E7320B"/>
    <w:rsid w:val="00E738C5"/>
    <w:rsid w:val="00E740DC"/>
    <w:rsid w:val="00E74279"/>
    <w:rsid w:val="00E74F22"/>
    <w:rsid w:val="00E75DEB"/>
    <w:rsid w:val="00E76515"/>
    <w:rsid w:val="00E76C64"/>
    <w:rsid w:val="00E76F15"/>
    <w:rsid w:val="00E81C09"/>
    <w:rsid w:val="00E82B15"/>
    <w:rsid w:val="00E834E5"/>
    <w:rsid w:val="00E87EDE"/>
    <w:rsid w:val="00E912BF"/>
    <w:rsid w:val="00E93290"/>
    <w:rsid w:val="00E936BB"/>
    <w:rsid w:val="00E963F6"/>
    <w:rsid w:val="00E968C3"/>
    <w:rsid w:val="00E96CA0"/>
    <w:rsid w:val="00E97111"/>
    <w:rsid w:val="00EA0590"/>
    <w:rsid w:val="00EA11ED"/>
    <w:rsid w:val="00EA15B3"/>
    <w:rsid w:val="00EA1AE8"/>
    <w:rsid w:val="00EA344E"/>
    <w:rsid w:val="00EB0A4B"/>
    <w:rsid w:val="00EB2299"/>
    <w:rsid w:val="00EB23B5"/>
    <w:rsid w:val="00EB271F"/>
    <w:rsid w:val="00EB43A7"/>
    <w:rsid w:val="00EB47C0"/>
    <w:rsid w:val="00EB4C5D"/>
    <w:rsid w:val="00EB5813"/>
    <w:rsid w:val="00EB599D"/>
    <w:rsid w:val="00EB5C93"/>
    <w:rsid w:val="00EB768E"/>
    <w:rsid w:val="00EC0EE4"/>
    <w:rsid w:val="00EC11F6"/>
    <w:rsid w:val="00EC1380"/>
    <w:rsid w:val="00EC346D"/>
    <w:rsid w:val="00EC4FCD"/>
    <w:rsid w:val="00EC635A"/>
    <w:rsid w:val="00EC7FC4"/>
    <w:rsid w:val="00ED11DE"/>
    <w:rsid w:val="00ED30DB"/>
    <w:rsid w:val="00ED623A"/>
    <w:rsid w:val="00ED6454"/>
    <w:rsid w:val="00EE17B1"/>
    <w:rsid w:val="00EE317A"/>
    <w:rsid w:val="00EF01FB"/>
    <w:rsid w:val="00EF05B6"/>
    <w:rsid w:val="00EF3FCD"/>
    <w:rsid w:val="00EF4553"/>
    <w:rsid w:val="00EF4B0F"/>
    <w:rsid w:val="00F0045B"/>
    <w:rsid w:val="00F009A9"/>
    <w:rsid w:val="00F016CA"/>
    <w:rsid w:val="00F01D8A"/>
    <w:rsid w:val="00F02D55"/>
    <w:rsid w:val="00F04198"/>
    <w:rsid w:val="00F0582F"/>
    <w:rsid w:val="00F07256"/>
    <w:rsid w:val="00F07F29"/>
    <w:rsid w:val="00F1004A"/>
    <w:rsid w:val="00F10152"/>
    <w:rsid w:val="00F10D2F"/>
    <w:rsid w:val="00F14088"/>
    <w:rsid w:val="00F1435A"/>
    <w:rsid w:val="00F15C48"/>
    <w:rsid w:val="00F24896"/>
    <w:rsid w:val="00F25197"/>
    <w:rsid w:val="00F252DA"/>
    <w:rsid w:val="00F25305"/>
    <w:rsid w:val="00F31A64"/>
    <w:rsid w:val="00F32B06"/>
    <w:rsid w:val="00F33FBE"/>
    <w:rsid w:val="00F41D96"/>
    <w:rsid w:val="00F423B3"/>
    <w:rsid w:val="00F4246C"/>
    <w:rsid w:val="00F50F31"/>
    <w:rsid w:val="00F53DFE"/>
    <w:rsid w:val="00F56B8D"/>
    <w:rsid w:val="00F56DCD"/>
    <w:rsid w:val="00F60717"/>
    <w:rsid w:val="00F63716"/>
    <w:rsid w:val="00F641ED"/>
    <w:rsid w:val="00F66A9C"/>
    <w:rsid w:val="00F70E25"/>
    <w:rsid w:val="00F80995"/>
    <w:rsid w:val="00F82684"/>
    <w:rsid w:val="00F831C4"/>
    <w:rsid w:val="00F832A4"/>
    <w:rsid w:val="00F858A0"/>
    <w:rsid w:val="00F86A54"/>
    <w:rsid w:val="00F90024"/>
    <w:rsid w:val="00F90499"/>
    <w:rsid w:val="00F92E8C"/>
    <w:rsid w:val="00F951DA"/>
    <w:rsid w:val="00F95EBC"/>
    <w:rsid w:val="00F9744C"/>
    <w:rsid w:val="00FA181D"/>
    <w:rsid w:val="00FA19E3"/>
    <w:rsid w:val="00FA218A"/>
    <w:rsid w:val="00FA4474"/>
    <w:rsid w:val="00FA4A46"/>
    <w:rsid w:val="00FA4EB2"/>
    <w:rsid w:val="00FA6084"/>
    <w:rsid w:val="00FA6670"/>
    <w:rsid w:val="00FA6875"/>
    <w:rsid w:val="00FA6AD2"/>
    <w:rsid w:val="00FA6F6A"/>
    <w:rsid w:val="00FB1E48"/>
    <w:rsid w:val="00FB3D30"/>
    <w:rsid w:val="00FB454B"/>
    <w:rsid w:val="00FB4D55"/>
    <w:rsid w:val="00FB5C96"/>
    <w:rsid w:val="00FB5F76"/>
    <w:rsid w:val="00FB5FC4"/>
    <w:rsid w:val="00FB61BE"/>
    <w:rsid w:val="00FB7D74"/>
    <w:rsid w:val="00FC0CE8"/>
    <w:rsid w:val="00FC3C0B"/>
    <w:rsid w:val="00FC5159"/>
    <w:rsid w:val="00FC6843"/>
    <w:rsid w:val="00FC7262"/>
    <w:rsid w:val="00FD0D45"/>
    <w:rsid w:val="00FD11B2"/>
    <w:rsid w:val="00FD189B"/>
    <w:rsid w:val="00FD2A50"/>
    <w:rsid w:val="00FD409B"/>
    <w:rsid w:val="00FD6BAA"/>
    <w:rsid w:val="00FD71DA"/>
    <w:rsid w:val="00FD7BA6"/>
    <w:rsid w:val="00FE0C0D"/>
    <w:rsid w:val="00FE12FA"/>
    <w:rsid w:val="00FE21FA"/>
    <w:rsid w:val="00FE235C"/>
    <w:rsid w:val="00FE529F"/>
    <w:rsid w:val="00FE5319"/>
    <w:rsid w:val="00FE5860"/>
    <w:rsid w:val="00FE5EB1"/>
    <w:rsid w:val="00FE5F79"/>
    <w:rsid w:val="00FE7D5C"/>
    <w:rsid w:val="00FF2729"/>
    <w:rsid w:val="00FF5635"/>
    <w:rsid w:val="00FF5A83"/>
    <w:rsid w:val="00FF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44E"/>
    <w:pPr>
      <w:spacing w:after="0" w:line="240" w:lineRule="auto"/>
      <w:ind w:firstLine="567"/>
      <w:jc w:val="both"/>
    </w:pPr>
    <w:rPr>
      <w:rFonts w:ascii="Calibri" w:hAnsi="Calibri" w:cs="Calibri"/>
      <w:sz w:val="24"/>
      <w:lang w:val="es-EC"/>
    </w:rPr>
  </w:style>
  <w:style w:type="paragraph" w:styleId="Ttulo1">
    <w:name w:val="heading 1"/>
    <w:basedOn w:val="Normal"/>
    <w:link w:val="Ttulo1Car"/>
    <w:uiPriority w:val="9"/>
    <w:qFormat/>
    <w:rsid w:val="00456235"/>
    <w:pPr>
      <w:numPr>
        <w:numId w:val="26"/>
      </w:numPr>
      <w:spacing w:before="240" w:after="240"/>
      <w:jc w:val="left"/>
      <w:outlineLvl w:val="0"/>
    </w:pPr>
    <w:rPr>
      <w:rFonts w:eastAsia="Times New Roman" w:cs="Times New Roman"/>
      <w:b/>
      <w:bCs/>
      <w:kern w:val="36"/>
      <w:szCs w:val="48"/>
      <w:lang w:val="en-US"/>
    </w:rPr>
  </w:style>
  <w:style w:type="paragraph" w:styleId="Ttulo2">
    <w:name w:val="heading 2"/>
    <w:basedOn w:val="Normal"/>
    <w:next w:val="Normal"/>
    <w:link w:val="Ttulo2Car"/>
    <w:uiPriority w:val="9"/>
    <w:unhideWhenUsed/>
    <w:qFormat/>
    <w:rsid w:val="00456235"/>
    <w:pPr>
      <w:keepNext/>
      <w:keepLines/>
      <w:numPr>
        <w:ilvl w:val="1"/>
        <w:numId w:val="26"/>
      </w:numPr>
      <w:spacing w:before="200" w:after="20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60880"/>
    <w:pPr>
      <w:keepNext/>
      <w:keepLines/>
      <w:numPr>
        <w:ilvl w:val="2"/>
        <w:numId w:val="26"/>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94239B"/>
    <w:pPr>
      <w:keepNext/>
      <w:keepLines/>
      <w:numPr>
        <w:ilvl w:val="3"/>
        <w:numId w:val="26"/>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38627D"/>
    <w:pPr>
      <w:keepNext/>
      <w:keepLines/>
      <w:numPr>
        <w:ilvl w:val="4"/>
        <w:numId w:val="26"/>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E7A10"/>
    <w:pPr>
      <w:keepNext/>
      <w:keepLines/>
      <w:numPr>
        <w:ilvl w:val="5"/>
        <w:numId w:val="26"/>
      </w:numPr>
      <w:spacing w:before="20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CE7A10"/>
    <w:pPr>
      <w:keepNext/>
      <w:keepLines/>
      <w:numPr>
        <w:ilvl w:val="6"/>
        <w:numId w:val="26"/>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CE7A10"/>
    <w:pPr>
      <w:keepNext/>
      <w:keepLines/>
      <w:numPr>
        <w:ilvl w:val="7"/>
        <w:numId w:val="26"/>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CE7A10"/>
    <w:pPr>
      <w:keepNext/>
      <w:keepLines/>
      <w:numPr>
        <w:ilvl w:val="8"/>
        <w:numId w:val="2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235"/>
    <w:rPr>
      <w:rFonts w:ascii="Times New Roman" w:eastAsia="Times New Roman" w:hAnsi="Times New Roman" w:cs="Times New Roman"/>
      <w:b/>
      <w:bCs/>
      <w:kern w:val="36"/>
      <w:sz w:val="24"/>
      <w:szCs w:val="48"/>
    </w:rPr>
  </w:style>
  <w:style w:type="character" w:customStyle="1" w:styleId="title-text">
    <w:name w:val="title-text"/>
    <w:basedOn w:val="Fuentedeprrafopredeter"/>
    <w:rsid w:val="00764C63"/>
  </w:style>
  <w:style w:type="character" w:customStyle="1" w:styleId="Ttulo2Car">
    <w:name w:val="Título 2 Car"/>
    <w:basedOn w:val="Fuentedeprrafopredeter"/>
    <w:link w:val="Ttulo2"/>
    <w:uiPriority w:val="9"/>
    <w:rsid w:val="00456235"/>
    <w:rPr>
      <w:rFonts w:ascii="Times New Roman" w:eastAsiaTheme="majorEastAsia" w:hAnsi="Times New Roman" w:cstheme="majorBidi"/>
      <w:b/>
      <w:sz w:val="24"/>
      <w:szCs w:val="26"/>
      <w:lang w:val="es-EC"/>
    </w:rPr>
  </w:style>
  <w:style w:type="character" w:styleId="Hipervnculo">
    <w:name w:val="Hyperlink"/>
    <w:basedOn w:val="Fuentedeprrafopredeter"/>
    <w:uiPriority w:val="99"/>
    <w:unhideWhenUsed/>
    <w:rsid w:val="00764C63"/>
    <w:rPr>
      <w:color w:val="0000FF"/>
      <w:u w:val="single"/>
    </w:rPr>
  </w:style>
  <w:style w:type="table" w:styleId="Tablaconcuadrcula">
    <w:name w:val="Table Grid"/>
    <w:basedOn w:val="Tablanormal"/>
    <w:uiPriority w:val="39"/>
    <w:rsid w:val="000734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7340C"/>
    <w:pPr>
      <w:spacing w:before="100" w:beforeAutospacing="1" w:after="100" w:afterAutospacing="1"/>
      <w:jc w:val="left"/>
    </w:pPr>
    <w:rPr>
      <w:rFonts w:eastAsia="Times New Roman" w:cs="Times New Roman"/>
      <w:szCs w:val="24"/>
      <w:lang w:val="en-US"/>
    </w:rPr>
  </w:style>
  <w:style w:type="paragraph" w:styleId="Encabezado">
    <w:name w:val="header"/>
    <w:basedOn w:val="Normal"/>
    <w:link w:val="EncabezadoCar"/>
    <w:uiPriority w:val="99"/>
    <w:unhideWhenUsed/>
    <w:rsid w:val="00505919"/>
    <w:pPr>
      <w:tabs>
        <w:tab w:val="center" w:pos="4419"/>
        <w:tab w:val="right" w:pos="8838"/>
      </w:tabs>
    </w:pPr>
  </w:style>
  <w:style w:type="character" w:customStyle="1" w:styleId="EncabezadoCar">
    <w:name w:val="Encabezado Car"/>
    <w:basedOn w:val="Fuentedeprrafopredeter"/>
    <w:link w:val="Encabezado"/>
    <w:uiPriority w:val="99"/>
    <w:rsid w:val="00505919"/>
    <w:rPr>
      <w:rFonts w:ascii="Arial" w:hAnsi="Arial"/>
      <w:sz w:val="24"/>
      <w:lang w:val="es-EC"/>
    </w:rPr>
  </w:style>
  <w:style w:type="paragraph" w:styleId="Piedepgina">
    <w:name w:val="footer"/>
    <w:basedOn w:val="Normal"/>
    <w:link w:val="PiedepginaCar"/>
    <w:uiPriority w:val="99"/>
    <w:unhideWhenUsed/>
    <w:rsid w:val="00505919"/>
    <w:pPr>
      <w:tabs>
        <w:tab w:val="center" w:pos="4419"/>
        <w:tab w:val="right" w:pos="8838"/>
      </w:tabs>
    </w:pPr>
  </w:style>
  <w:style w:type="character" w:customStyle="1" w:styleId="PiedepginaCar">
    <w:name w:val="Pie de página Car"/>
    <w:basedOn w:val="Fuentedeprrafopredeter"/>
    <w:link w:val="Piedepgina"/>
    <w:uiPriority w:val="99"/>
    <w:rsid w:val="00505919"/>
    <w:rPr>
      <w:rFonts w:ascii="Arial" w:hAnsi="Arial"/>
      <w:sz w:val="24"/>
      <w:lang w:val="es-EC"/>
    </w:rPr>
  </w:style>
  <w:style w:type="character" w:customStyle="1" w:styleId="Ttulo5Car">
    <w:name w:val="Título 5 Car"/>
    <w:basedOn w:val="Fuentedeprrafopredeter"/>
    <w:link w:val="Ttulo5"/>
    <w:uiPriority w:val="9"/>
    <w:rsid w:val="0038627D"/>
    <w:rPr>
      <w:rFonts w:asciiTheme="majorHAnsi" w:eastAsiaTheme="majorEastAsia" w:hAnsiTheme="majorHAnsi" w:cstheme="majorBidi"/>
      <w:color w:val="2F5496" w:themeColor="accent1" w:themeShade="BF"/>
      <w:sz w:val="24"/>
      <w:lang w:val="es-EC"/>
    </w:rPr>
  </w:style>
  <w:style w:type="character" w:customStyle="1" w:styleId="Mencinsinresolver1">
    <w:name w:val="Mención sin resolver1"/>
    <w:basedOn w:val="Fuentedeprrafopredeter"/>
    <w:uiPriority w:val="99"/>
    <w:semiHidden/>
    <w:unhideWhenUsed/>
    <w:rsid w:val="0038627D"/>
    <w:rPr>
      <w:color w:val="605E5C"/>
      <w:shd w:val="clear" w:color="auto" w:fill="E1DFDD"/>
    </w:rPr>
  </w:style>
  <w:style w:type="character" w:styleId="Hipervnculovisitado">
    <w:name w:val="FollowedHyperlink"/>
    <w:basedOn w:val="Fuentedeprrafopredeter"/>
    <w:uiPriority w:val="99"/>
    <w:semiHidden/>
    <w:unhideWhenUsed/>
    <w:rsid w:val="005828F6"/>
    <w:rPr>
      <w:color w:val="954F72" w:themeColor="followedHyperlink"/>
      <w:u w:val="single"/>
    </w:rPr>
  </w:style>
  <w:style w:type="paragraph" w:customStyle="1" w:styleId="p">
    <w:name w:val="p"/>
    <w:basedOn w:val="Normal"/>
    <w:rsid w:val="00C374A9"/>
    <w:pPr>
      <w:spacing w:before="100" w:beforeAutospacing="1" w:after="100" w:afterAutospacing="1"/>
      <w:jc w:val="left"/>
    </w:pPr>
    <w:rPr>
      <w:rFonts w:eastAsia="Times New Roman" w:cs="Times New Roman"/>
      <w:szCs w:val="24"/>
      <w:lang w:val="en-US"/>
    </w:rPr>
  </w:style>
  <w:style w:type="character" w:customStyle="1" w:styleId="pdf-link">
    <w:name w:val="pdf-link"/>
    <w:basedOn w:val="Fuentedeprrafopredeter"/>
    <w:rsid w:val="005369FF"/>
  </w:style>
  <w:style w:type="character" w:styleId="Textodelmarcadordeposicin">
    <w:name w:val="Placeholder Text"/>
    <w:basedOn w:val="Fuentedeprrafopredeter"/>
    <w:uiPriority w:val="99"/>
    <w:semiHidden/>
    <w:rsid w:val="005369FF"/>
    <w:rPr>
      <w:color w:val="808080"/>
    </w:rPr>
  </w:style>
  <w:style w:type="paragraph" w:styleId="Epgrafe">
    <w:name w:val="caption"/>
    <w:basedOn w:val="Normal"/>
    <w:next w:val="Normal"/>
    <w:uiPriority w:val="35"/>
    <w:unhideWhenUsed/>
    <w:qFormat/>
    <w:rsid w:val="00F0045B"/>
    <w:pPr>
      <w:spacing w:after="200"/>
    </w:pPr>
    <w:rPr>
      <w:i/>
      <w:iCs/>
      <w:color w:val="44546A" w:themeColor="text2"/>
      <w:sz w:val="18"/>
      <w:szCs w:val="18"/>
    </w:rPr>
  </w:style>
  <w:style w:type="character" w:customStyle="1" w:styleId="Ttulo3Car">
    <w:name w:val="Título 3 Car"/>
    <w:basedOn w:val="Fuentedeprrafopredeter"/>
    <w:link w:val="Ttulo3"/>
    <w:uiPriority w:val="9"/>
    <w:rsid w:val="00960880"/>
    <w:rPr>
      <w:rFonts w:ascii="Times New Roman" w:eastAsiaTheme="majorEastAsia" w:hAnsi="Times New Roman" w:cstheme="majorBidi"/>
      <w:b/>
      <w:sz w:val="24"/>
      <w:szCs w:val="24"/>
      <w:lang w:val="es-EC"/>
    </w:rPr>
  </w:style>
  <w:style w:type="paragraph" w:styleId="Bibliografa">
    <w:name w:val="Bibliography"/>
    <w:basedOn w:val="Normal"/>
    <w:next w:val="Normal"/>
    <w:uiPriority w:val="37"/>
    <w:unhideWhenUsed/>
    <w:rsid w:val="007E2B80"/>
    <w:pPr>
      <w:spacing w:line="480" w:lineRule="auto"/>
      <w:ind w:left="720" w:hanging="720"/>
    </w:pPr>
  </w:style>
  <w:style w:type="paragraph" w:styleId="Prrafodelista">
    <w:name w:val="List Paragraph"/>
    <w:basedOn w:val="Normal"/>
    <w:uiPriority w:val="1"/>
    <w:qFormat/>
    <w:rsid w:val="00461B12"/>
    <w:pPr>
      <w:ind w:left="720"/>
      <w:contextualSpacing/>
    </w:pPr>
  </w:style>
  <w:style w:type="paragraph" w:styleId="Textoindependiente">
    <w:name w:val="Body Text"/>
    <w:basedOn w:val="Normal"/>
    <w:link w:val="TextoindependienteCar"/>
    <w:uiPriority w:val="1"/>
    <w:rsid w:val="00CD2189"/>
    <w:pPr>
      <w:widowControl w:val="0"/>
      <w:autoSpaceDE w:val="0"/>
      <w:autoSpaceDN w:val="0"/>
    </w:pPr>
    <w:rPr>
      <w:rFonts w:eastAsia="Arial" w:cs="Arial"/>
      <w:lang w:val="es-ES"/>
    </w:rPr>
  </w:style>
  <w:style w:type="character" w:customStyle="1" w:styleId="TextoindependienteCar">
    <w:name w:val="Texto independiente Car"/>
    <w:basedOn w:val="Fuentedeprrafopredeter"/>
    <w:link w:val="Textoindependiente"/>
    <w:uiPriority w:val="1"/>
    <w:rsid w:val="00CD2189"/>
    <w:rPr>
      <w:rFonts w:ascii="Arial" w:eastAsia="Arial" w:hAnsi="Arial" w:cs="Arial"/>
      <w:sz w:val="24"/>
      <w:lang w:val="es-ES"/>
    </w:rPr>
  </w:style>
  <w:style w:type="character" w:customStyle="1" w:styleId="Ttulo4Car">
    <w:name w:val="Título 4 Car"/>
    <w:basedOn w:val="Fuentedeprrafopredeter"/>
    <w:link w:val="Ttulo4"/>
    <w:uiPriority w:val="9"/>
    <w:semiHidden/>
    <w:rsid w:val="0094239B"/>
    <w:rPr>
      <w:rFonts w:asciiTheme="majorHAnsi" w:eastAsiaTheme="majorEastAsia" w:hAnsiTheme="majorHAnsi" w:cstheme="majorBidi"/>
      <w:i/>
      <w:iCs/>
      <w:color w:val="2F5496" w:themeColor="accent1" w:themeShade="BF"/>
      <w:sz w:val="24"/>
      <w:lang w:val="es-EC"/>
    </w:rPr>
  </w:style>
  <w:style w:type="character" w:styleId="nfasis">
    <w:name w:val="Emphasis"/>
    <w:basedOn w:val="Fuentedeprrafopredeter"/>
    <w:uiPriority w:val="20"/>
    <w:qFormat/>
    <w:rsid w:val="0094239B"/>
    <w:rPr>
      <w:i/>
      <w:iCs/>
    </w:rPr>
  </w:style>
  <w:style w:type="character" w:customStyle="1" w:styleId="mi">
    <w:name w:val="mi"/>
    <w:basedOn w:val="Fuentedeprrafopredeter"/>
    <w:rsid w:val="0094239B"/>
  </w:style>
  <w:style w:type="character" w:customStyle="1" w:styleId="mo">
    <w:name w:val="mo"/>
    <w:basedOn w:val="Fuentedeprrafopredeter"/>
    <w:rsid w:val="0094239B"/>
  </w:style>
  <w:style w:type="character" w:customStyle="1" w:styleId="mn">
    <w:name w:val="mn"/>
    <w:basedOn w:val="Fuentedeprrafopredeter"/>
    <w:rsid w:val="0094239B"/>
  </w:style>
  <w:style w:type="paragraph" w:styleId="Sinespaciado">
    <w:name w:val="No Spacing"/>
    <w:uiPriority w:val="1"/>
    <w:qFormat/>
    <w:rsid w:val="002417C5"/>
    <w:pPr>
      <w:spacing w:after="0" w:line="240" w:lineRule="auto"/>
      <w:contextualSpacing/>
      <w:jc w:val="both"/>
    </w:pPr>
    <w:rPr>
      <w:rFonts w:ascii="Times New Roman" w:hAnsi="Times New Roman"/>
      <w:sz w:val="24"/>
      <w:lang w:val="es-EC"/>
    </w:rPr>
  </w:style>
  <w:style w:type="paragraph" w:customStyle="1" w:styleId="MDPI39equation">
    <w:name w:val="MDPI_3.9_equation"/>
    <w:qFormat/>
    <w:rsid w:val="00E24213"/>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eastAsia="de-DE" w:bidi="en-US"/>
    </w:rPr>
  </w:style>
  <w:style w:type="paragraph" w:customStyle="1" w:styleId="MDPI3aequationnumber">
    <w:name w:val="MDPI_3.a_equation_number"/>
    <w:qFormat/>
    <w:rsid w:val="00E24213"/>
    <w:pPr>
      <w:spacing w:before="120" w:after="120" w:line="240" w:lineRule="auto"/>
      <w:jc w:val="right"/>
    </w:pPr>
    <w:rPr>
      <w:rFonts w:ascii="Palatino Linotype" w:eastAsia="Times New Roman" w:hAnsi="Palatino Linotype" w:cs="Times New Roman"/>
      <w:snapToGrid w:val="0"/>
      <w:color w:val="000000"/>
      <w:sz w:val="20"/>
      <w:lang w:eastAsia="de-DE" w:bidi="en-US"/>
    </w:rPr>
  </w:style>
  <w:style w:type="table" w:customStyle="1" w:styleId="Tablaconcuadrcula1clara-nfasis11">
    <w:name w:val="Tabla con cuadrícula 1 clara - Énfasis 11"/>
    <w:basedOn w:val="Tablanormal"/>
    <w:uiPriority w:val="46"/>
    <w:rsid w:val="00E7320B"/>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E7320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5674D8"/>
    <w:rPr>
      <w:sz w:val="20"/>
      <w:szCs w:val="20"/>
    </w:rPr>
  </w:style>
  <w:style w:type="character" w:customStyle="1" w:styleId="TextonotapieCar">
    <w:name w:val="Texto nota pie Car"/>
    <w:basedOn w:val="Fuentedeprrafopredeter"/>
    <w:link w:val="Textonotapie"/>
    <w:uiPriority w:val="99"/>
    <w:semiHidden/>
    <w:rsid w:val="005674D8"/>
    <w:rPr>
      <w:rFonts w:ascii="Arial" w:hAnsi="Arial"/>
      <w:sz w:val="20"/>
      <w:szCs w:val="20"/>
      <w:lang w:val="es-EC"/>
    </w:rPr>
  </w:style>
  <w:style w:type="character" w:styleId="Refdenotaalpie">
    <w:name w:val="footnote reference"/>
    <w:basedOn w:val="Fuentedeprrafopredeter"/>
    <w:uiPriority w:val="99"/>
    <w:semiHidden/>
    <w:unhideWhenUsed/>
    <w:rsid w:val="005674D8"/>
    <w:rPr>
      <w:vertAlign w:val="superscript"/>
    </w:rPr>
  </w:style>
  <w:style w:type="character" w:customStyle="1" w:styleId="jlqj4b">
    <w:name w:val="jlqj4b"/>
    <w:basedOn w:val="Fuentedeprrafopredeter"/>
    <w:rsid w:val="00A30E5E"/>
  </w:style>
  <w:style w:type="character" w:customStyle="1" w:styleId="markedcontent">
    <w:name w:val="markedcontent"/>
    <w:basedOn w:val="Fuentedeprrafopredeter"/>
    <w:rsid w:val="007877DD"/>
  </w:style>
  <w:style w:type="character" w:styleId="Textoennegrita">
    <w:name w:val="Strong"/>
    <w:basedOn w:val="Fuentedeprrafopredeter"/>
    <w:uiPriority w:val="22"/>
    <w:qFormat/>
    <w:rsid w:val="00136E49"/>
    <w:rPr>
      <w:b/>
      <w:bCs/>
    </w:rPr>
  </w:style>
  <w:style w:type="character" w:customStyle="1" w:styleId="unidade">
    <w:name w:val="unidade"/>
    <w:basedOn w:val="Fuentedeprrafopredeter"/>
    <w:rsid w:val="001E5A3F"/>
  </w:style>
  <w:style w:type="character" w:customStyle="1" w:styleId="u-custom-list-number">
    <w:name w:val="u-custom-list-number"/>
    <w:basedOn w:val="Fuentedeprrafopredeter"/>
    <w:rsid w:val="00170C7D"/>
  </w:style>
  <w:style w:type="character" w:customStyle="1" w:styleId="xref-bibr">
    <w:name w:val="xref-bibr"/>
    <w:basedOn w:val="Fuentedeprrafopredeter"/>
    <w:rsid w:val="001737BB"/>
  </w:style>
  <w:style w:type="character" w:styleId="Refdecomentario">
    <w:name w:val="annotation reference"/>
    <w:basedOn w:val="Fuentedeprrafopredeter"/>
    <w:uiPriority w:val="99"/>
    <w:semiHidden/>
    <w:unhideWhenUsed/>
    <w:rsid w:val="00A651B1"/>
    <w:rPr>
      <w:sz w:val="16"/>
      <w:szCs w:val="16"/>
    </w:rPr>
  </w:style>
  <w:style w:type="paragraph" w:styleId="Textocomentario">
    <w:name w:val="annotation text"/>
    <w:basedOn w:val="Normal"/>
    <w:link w:val="TextocomentarioCar"/>
    <w:uiPriority w:val="99"/>
    <w:semiHidden/>
    <w:unhideWhenUsed/>
    <w:rsid w:val="00A651B1"/>
    <w:rPr>
      <w:sz w:val="20"/>
      <w:szCs w:val="20"/>
    </w:rPr>
  </w:style>
  <w:style w:type="character" w:customStyle="1" w:styleId="TextocomentarioCar">
    <w:name w:val="Texto comentario Car"/>
    <w:basedOn w:val="Fuentedeprrafopredeter"/>
    <w:link w:val="Textocomentario"/>
    <w:uiPriority w:val="99"/>
    <w:semiHidden/>
    <w:rsid w:val="00A651B1"/>
    <w:rPr>
      <w:rFonts w:ascii="Times New Roman" w:hAnsi="Times New Roman"/>
      <w:sz w:val="20"/>
      <w:szCs w:val="20"/>
      <w:lang w:val="es-EC"/>
    </w:rPr>
  </w:style>
  <w:style w:type="paragraph" w:styleId="Asuntodelcomentario">
    <w:name w:val="annotation subject"/>
    <w:basedOn w:val="Textocomentario"/>
    <w:next w:val="Textocomentario"/>
    <w:link w:val="AsuntodelcomentarioCar"/>
    <w:uiPriority w:val="99"/>
    <w:semiHidden/>
    <w:unhideWhenUsed/>
    <w:rsid w:val="00A651B1"/>
    <w:rPr>
      <w:b/>
      <w:bCs/>
    </w:rPr>
  </w:style>
  <w:style w:type="character" w:customStyle="1" w:styleId="AsuntodelcomentarioCar">
    <w:name w:val="Asunto del comentario Car"/>
    <w:basedOn w:val="TextocomentarioCar"/>
    <w:link w:val="Asuntodelcomentario"/>
    <w:uiPriority w:val="99"/>
    <w:semiHidden/>
    <w:rsid w:val="00A651B1"/>
    <w:rPr>
      <w:rFonts w:ascii="Times New Roman" w:hAnsi="Times New Roman"/>
      <w:b/>
      <w:bCs/>
      <w:sz w:val="20"/>
      <w:szCs w:val="20"/>
      <w:lang w:val="es-EC"/>
    </w:rPr>
  </w:style>
  <w:style w:type="paragraph" w:customStyle="1" w:styleId="MDPI13authornames">
    <w:name w:val="MDPI_1.3_authornames"/>
    <w:next w:val="Normal"/>
    <w:qFormat/>
    <w:rsid w:val="002F18F2"/>
    <w:pPr>
      <w:adjustRightInd w:val="0"/>
      <w:snapToGrid w:val="0"/>
      <w:spacing w:after="360" w:line="260" w:lineRule="atLeast"/>
    </w:pPr>
    <w:rPr>
      <w:rFonts w:ascii="Palatino Linotype" w:eastAsia="Times New Roman" w:hAnsi="Palatino Linotype" w:cs="Times New Roman"/>
      <w:b/>
      <w:color w:val="000000"/>
      <w:sz w:val="20"/>
      <w:lang w:eastAsia="de-DE" w:bidi="en-US"/>
    </w:rPr>
  </w:style>
  <w:style w:type="character" w:customStyle="1" w:styleId="rynqvb">
    <w:name w:val="rynqvb"/>
    <w:basedOn w:val="Fuentedeprrafopredeter"/>
    <w:rsid w:val="00C856CC"/>
  </w:style>
  <w:style w:type="character" w:customStyle="1" w:styleId="Ttulo6Car">
    <w:name w:val="Título 6 Car"/>
    <w:basedOn w:val="Fuentedeprrafopredeter"/>
    <w:link w:val="Ttulo6"/>
    <w:uiPriority w:val="9"/>
    <w:semiHidden/>
    <w:rsid w:val="00CE7A10"/>
    <w:rPr>
      <w:rFonts w:asciiTheme="majorHAnsi" w:eastAsiaTheme="majorEastAsia" w:hAnsiTheme="majorHAnsi" w:cstheme="majorBidi"/>
      <w:i/>
      <w:iCs/>
      <w:color w:val="1F3763" w:themeColor="accent1" w:themeShade="7F"/>
      <w:sz w:val="24"/>
      <w:lang w:val="es-EC"/>
    </w:rPr>
  </w:style>
  <w:style w:type="character" w:customStyle="1" w:styleId="Ttulo7Car">
    <w:name w:val="Título 7 Car"/>
    <w:basedOn w:val="Fuentedeprrafopredeter"/>
    <w:link w:val="Ttulo7"/>
    <w:uiPriority w:val="9"/>
    <w:semiHidden/>
    <w:rsid w:val="00CE7A10"/>
    <w:rPr>
      <w:rFonts w:asciiTheme="majorHAnsi" w:eastAsiaTheme="majorEastAsia" w:hAnsiTheme="majorHAnsi" w:cstheme="majorBidi"/>
      <w:i/>
      <w:iCs/>
      <w:color w:val="404040" w:themeColor="text1" w:themeTint="BF"/>
      <w:sz w:val="24"/>
      <w:lang w:val="es-EC"/>
    </w:rPr>
  </w:style>
  <w:style w:type="character" w:customStyle="1" w:styleId="Ttulo8Car">
    <w:name w:val="Título 8 Car"/>
    <w:basedOn w:val="Fuentedeprrafopredeter"/>
    <w:link w:val="Ttulo8"/>
    <w:uiPriority w:val="9"/>
    <w:semiHidden/>
    <w:rsid w:val="00CE7A10"/>
    <w:rPr>
      <w:rFonts w:asciiTheme="majorHAnsi" w:eastAsiaTheme="majorEastAsia" w:hAnsiTheme="majorHAnsi" w:cstheme="majorBidi"/>
      <w:color w:val="404040" w:themeColor="text1" w:themeTint="BF"/>
      <w:sz w:val="20"/>
      <w:szCs w:val="20"/>
      <w:lang w:val="es-EC"/>
    </w:rPr>
  </w:style>
  <w:style w:type="character" w:customStyle="1" w:styleId="Ttulo9Car">
    <w:name w:val="Título 9 Car"/>
    <w:basedOn w:val="Fuentedeprrafopredeter"/>
    <w:link w:val="Ttulo9"/>
    <w:uiPriority w:val="9"/>
    <w:semiHidden/>
    <w:rsid w:val="00CE7A10"/>
    <w:rPr>
      <w:rFonts w:asciiTheme="majorHAnsi" w:eastAsiaTheme="majorEastAsia" w:hAnsiTheme="majorHAnsi" w:cstheme="majorBidi"/>
      <w:i/>
      <w:iCs/>
      <w:color w:val="404040" w:themeColor="text1" w:themeTint="BF"/>
      <w:sz w:val="20"/>
      <w:szCs w:val="20"/>
      <w:lang w:val="es-EC"/>
    </w:rPr>
  </w:style>
  <w:style w:type="table" w:customStyle="1" w:styleId="TableNormal">
    <w:name w:val="Table Normal"/>
    <w:uiPriority w:val="2"/>
    <w:semiHidden/>
    <w:unhideWhenUsed/>
    <w:qFormat/>
    <w:rsid w:val="00501EEA"/>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01EEA"/>
    <w:pPr>
      <w:widowControl w:val="0"/>
      <w:autoSpaceDE w:val="0"/>
      <w:autoSpaceDN w:val="0"/>
      <w:ind w:firstLine="0"/>
      <w:jc w:val="left"/>
    </w:pPr>
    <w:rPr>
      <w:rFonts w:ascii="Calibri Light" w:eastAsia="Calibri Light" w:hAnsi="Calibri Light" w:cs="Calibri Light"/>
      <w:sz w:val="22"/>
      <w:lang w:val="es-ES"/>
    </w:rPr>
  </w:style>
  <w:style w:type="paragraph" w:styleId="Textodeglobo">
    <w:name w:val="Balloon Text"/>
    <w:basedOn w:val="Normal"/>
    <w:link w:val="TextodegloboCar"/>
    <w:uiPriority w:val="99"/>
    <w:semiHidden/>
    <w:unhideWhenUsed/>
    <w:rsid w:val="00501EEA"/>
    <w:rPr>
      <w:rFonts w:ascii="Tahoma" w:hAnsi="Tahoma" w:cs="Tahoma"/>
      <w:sz w:val="16"/>
      <w:szCs w:val="16"/>
    </w:rPr>
  </w:style>
  <w:style w:type="character" w:customStyle="1" w:styleId="TextodegloboCar">
    <w:name w:val="Texto de globo Car"/>
    <w:basedOn w:val="Fuentedeprrafopredeter"/>
    <w:link w:val="Textodeglobo"/>
    <w:uiPriority w:val="99"/>
    <w:semiHidden/>
    <w:rsid w:val="00501EEA"/>
    <w:rPr>
      <w:rFonts w:ascii="Tahoma" w:hAnsi="Tahoma" w:cs="Tahoma"/>
      <w:sz w:val="16"/>
      <w:szCs w:val="16"/>
      <w:lang w:val="es-E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44E"/>
    <w:pPr>
      <w:spacing w:after="0" w:line="240" w:lineRule="auto"/>
      <w:ind w:firstLine="567"/>
      <w:jc w:val="both"/>
    </w:pPr>
    <w:rPr>
      <w:rFonts w:ascii="Calibri" w:hAnsi="Calibri" w:cs="Calibri"/>
      <w:sz w:val="24"/>
      <w:lang w:val="es-EC"/>
    </w:rPr>
  </w:style>
  <w:style w:type="paragraph" w:styleId="Ttulo1">
    <w:name w:val="heading 1"/>
    <w:basedOn w:val="Normal"/>
    <w:link w:val="Ttulo1Car"/>
    <w:uiPriority w:val="9"/>
    <w:qFormat/>
    <w:rsid w:val="00456235"/>
    <w:pPr>
      <w:numPr>
        <w:numId w:val="26"/>
      </w:numPr>
      <w:spacing w:before="240" w:after="240"/>
      <w:jc w:val="left"/>
      <w:outlineLvl w:val="0"/>
    </w:pPr>
    <w:rPr>
      <w:rFonts w:eastAsia="Times New Roman" w:cs="Times New Roman"/>
      <w:b/>
      <w:bCs/>
      <w:kern w:val="36"/>
      <w:szCs w:val="48"/>
      <w:lang w:val="en-US"/>
    </w:rPr>
  </w:style>
  <w:style w:type="paragraph" w:styleId="Ttulo2">
    <w:name w:val="heading 2"/>
    <w:basedOn w:val="Normal"/>
    <w:next w:val="Normal"/>
    <w:link w:val="Ttulo2Car"/>
    <w:uiPriority w:val="9"/>
    <w:unhideWhenUsed/>
    <w:qFormat/>
    <w:rsid w:val="00456235"/>
    <w:pPr>
      <w:keepNext/>
      <w:keepLines/>
      <w:numPr>
        <w:ilvl w:val="1"/>
        <w:numId w:val="26"/>
      </w:numPr>
      <w:spacing w:before="200" w:after="20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60880"/>
    <w:pPr>
      <w:keepNext/>
      <w:keepLines/>
      <w:numPr>
        <w:ilvl w:val="2"/>
        <w:numId w:val="26"/>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94239B"/>
    <w:pPr>
      <w:keepNext/>
      <w:keepLines/>
      <w:numPr>
        <w:ilvl w:val="3"/>
        <w:numId w:val="26"/>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38627D"/>
    <w:pPr>
      <w:keepNext/>
      <w:keepLines/>
      <w:numPr>
        <w:ilvl w:val="4"/>
        <w:numId w:val="26"/>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E7A10"/>
    <w:pPr>
      <w:keepNext/>
      <w:keepLines/>
      <w:numPr>
        <w:ilvl w:val="5"/>
        <w:numId w:val="26"/>
      </w:numPr>
      <w:spacing w:before="20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CE7A10"/>
    <w:pPr>
      <w:keepNext/>
      <w:keepLines/>
      <w:numPr>
        <w:ilvl w:val="6"/>
        <w:numId w:val="26"/>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CE7A10"/>
    <w:pPr>
      <w:keepNext/>
      <w:keepLines/>
      <w:numPr>
        <w:ilvl w:val="7"/>
        <w:numId w:val="26"/>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CE7A10"/>
    <w:pPr>
      <w:keepNext/>
      <w:keepLines/>
      <w:numPr>
        <w:ilvl w:val="8"/>
        <w:numId w:val="2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235"/>
    <w:rPr>
      <w:rFonts w:ascii="Times New Roman" w:eastAsia="Times New Roman" w:hAnsi="Times New Roman" w:cs="Times New Roman"/>
      <w:b/>
      <w:bCs/>
      <w:kern w:val="36"/>
      <w:sz w:val="24"/>
      <w:szCs w:val="48"/>
    </w:rPr>
  </w:style>
  <w:style w:type="character" w:customStyle="1" w:styleId="title-text">
    <w:name w:val="title-text"/>
    <w:basedOn w:val="Fuentedeprrafopredeter"/>
    <w:rsid w:val="00764C63"/>
  </w:style>
  <w:style w:type="character" w:customStyle="1" w:styleId="Ttulo2Car">
    <w:name w:val="Título 2 Car"/>
    <w:basedOn w:val="Fuentedeprrafopredeter"/>
    <w:link w:val="Ttulo2"/>
    <w:uiPriority w:val="9"/>
    <w:rsid w:val="00456235"/>
    <w:rPr>
      <w:rFonts w:ascii="Times New Roman" w:eastAsiaTheme="majorEastAsia" w:hAnsi="Times New Roman" w:cstheme="majorBidi"/>
      <w:b/>
      <w:sz w:val="24"/>
      <w:szCs w:val="26"/>
      <w:lang w:val="es-EC"/>
    </w:rPr>
  </w:style>
  <w:style w:type="character" w:styleId="Hipervnculo">
    <w:name w:val="Hyperlink"/>
    <w:basedOn w:val="Fuentedeprrafopredeter"/>
    <w:uiPriority w:val="99"/>
    <w:unhideWhenUsed/>
    <w:rsid w:val="00764C63"/>
    <w:rPr>
      <w:color w:val="0000FF"/>
      <w:u w:val="single"/>
    </w:rPr>
  </w:style>
  <w:style w:type="table" w:styleId="Tablaconcuadrcula">
    <w:name w:val="Table Grid"/>
    <w:basedOn w:val="Tablanormal"/>
    <w:uiPriority w:val="39"/>
    <w:rsid w:val="000734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7340C"/>
    <w:pPr>
      <w:spacing w:before="100" w:beforeAutospacing="1" w:after="100" w:afterAutospacing="1"/>
      <w:jc w:val="left"/>
    </w:pPr>
    <w:rPr>
      <w:rFonts w:eastAsia="Times New Roman" w:cs="Times New Roman"/>
      <w:szCs w:val="24"/>
      <w:lang w:val="en-US"/>
    </w:rPr>
  </w:style>
  <w:style w:type="paragraph" w:styleId="Encabezado">
    <w:name w:val="header"/>
    <w:basedOn w:val="Normal"/>
    <w:link w:val="EncabezadoCar"/>
    <w:uiPriority w:val="99"/>
    <w:unhideWhenUsed/>
    <w:rsid w:val="00505919"/>
    <w:pPr>
      <w:tabs>
        <w:tab w:val="center" w:pos="4419"/>
        <w:tab w:val="right" w:pos="8838"/>
      </w:tabs>
    </w:pPr>
  </w:style>
  <w:style w:type="character" w:customStyle="1" w:styleId="EncabezadoCar">
    <w:name w:val="Encabezado Car"/>
    <w:basedOn w:val="Fuentedeprrafopredeter"/>
    <w:link w:val="Encabezado"/>
    <w:uiPriority w:val="99"/>
    <w:rsid w:val="00505919"/>
    <w:rPr>
      <w:rFonts w:ascii="Arial" w:hAnsi="Arial"/>
      <w:sz w:val="24"/>
      <w:lang w:val="es-EC"/>
    </w:rPr>
  </w:style>
  <w:style w:type="paragraph" w:styleId="Piedepgina">
    <w:name w:val="footer"/>
    <w:basedOn w:val="Normal"/>
    <w:link w:val="PiedepginaCar"/>
    <w:uiPriority w:val="99"/>
    <w:unhideWhenUsed/>
    <w:rsid w:val="00505919"/>
    <w:pPr>
      <w:tabs>
        <w:tab w:val="center" w:pos="4419"/>
        <w:tab w:val="right" w:pos="8838"/>
      </w:tabs>
    </w:pPr>
  </w:style>
  <w:style w:type="character" w:customStyle="1" w:styleId="PiedepginaCar">
    <w:name w:val="Pie de página Car"/>
    <w:basedOn w:val="Fuentedeprrafopredeter"/>
    <w:link w:val="Piedepgina"/>
    <w:uiPriority w:val="99"/>
    <w:rsid w:val="00505919"/>
    <w:rPr>
      <w:rFonts w:ascii="Arial" w:hAnsi="Arial"/>
      <w:sz w:val="24"/>
      <w:lang w:val="es-EC"/>
    </w:rPr>
  </w:style>
  <w:style w:type="character" w:customStyle="1" w:styleId="Ttulo5Car">
    <w:name w:val="Título 5 Car"/>
    <w:basedOn w:val="Fuentedeprrafopredeter"/>
    <w:link w:val="Ttulo5"/>
    <w:uiPriority w:val="9"/>
    <w:rsid w:val="0038627D"/>
    <w:rPr>
      <w:rFonts w:asciiTheme="majorHAnsi" w:eastAsiaTheme="majorEastAsia" w:hAnsiTheme="majorHAnsi" w:cstheme="majorBidi"/>
      <w:color w:val="2F5496" w:themeColor="accent1" w:themeShade="BF"/>
      <w:sz w:val="24"/>
      <w:lang w:val="es-EC"/>
    </w:rPr>
  </w:style>
  <w:style w:type="character" w:customStyle="1" w:styleId="Mencinsinresolver1">
    <w:name w:val="Mención sin resolver1"/>
    <w:basedOn w:val="Fuentedeprrafopredeter"/>
    <w:uiPriority w:val="99"/>
    <w:semiHidden/>
    <w:unhideWhenUsed/>
    <w:rsid w:val="0038627D"/>
    <w:rPr>
      <w:color w:val="605E5C"/>
      <w:shd w:val="clear" w:color="auto" w:fill="E1DFDD"/>
    </w:rPr>
  </w:style>
  <w:style w:type="character" w:styleId="Hipervnculovisitado">
    <w:name w:val="FollowedHyperlink"/>
    <w:basedOn w:val="Fuentedeprrafopredeter"/>
    <w:uiPriority w:val="99"/>
    <w:semiHidden/>
    <w:unhideWhenUsed/>
    <w:rsid w:val="005828F6"/>
    <w:rPr>
      <w:color w:val="954F72" w:themeColor="followedHyperlink"/>
      <w:u w:val="single"/>
    </w:rPr>
  </w:style>
  <w:style w:type="paragraph" w:customStyle="1" w:styleId="p">
    <w:name w:val="p"/>
    <w:basedOn w:val="Normal"/>
    <w:rsid w:val="00C374A9"/>
    <w:pPr>
      <w:spacing w:before="100" w:beforeAutospacing="1" w:after="100" w:afterAutospacing="1"/>
      <w:jc w:val="left"/>
    </w:pPr>
    <w:rPr>
      <w:rFonts w:eastAsia="Times New Roman" w:cs="Times New Roman"/>
      <w:szCs w:val="24"/>
      <w:lang w:val="en-US"/>
    </w:rPr>
  </w:style>
  <w:style w:type="character" w:customStyle="1" w:styleId="pdf-link">
    <w:name w:val="pdf-link"/>
    <w:basedOn w:val="Fuentedeprrafopredeter"/>
    <w:rsid w:val="005369FF"/>
  </w:style>
  <w:style w:type="character" w:styleId="Textodelmarcadordeposicin">
    <w:name w:val="Placeholder Text"/>
    <w:basedOn w:val="Fuentedeprrafopredeter"/>
    <w:uiPriority w:val="99"/>
    <w:semiHidden/>
    <w:rsid w:val="005369FF"/>
    <w:rPr>
      <w:color w:val="808080"/>
    </w:rPr>
  </w:style>
  <w:style w:type="paragraph" w:styleId="Epgrafe">
    <w:name w:val="caption"/>
    <w:basedOn w:val="Normal"/>
    <w:next w:val="Normal"/>
    <w:uiPriority w:val="35"/>
    <w:unhideWhenUsed/>
    <w:qFormat/>
    <w:rsid w:val="00F0045B"/>
    <w:pPr>
      <w:spacing w:after="200"/>
    </w:pPr>
    <w:rPr>
      <w:i/>
      <w:iCs/>
      <w:color w:val="44546A" w:themeColor="text2"/>
      <w:sz w:val="18"/>
      <w:szCs w:val="18"/>
    </w:rPr>
  </w:style>
  <w:style w:type="character" w:customStyle="1" w:styleId="Ttulo3Car">
    <w:name w:val="Título 3 Car"/>
    <w:basedOn w:val="Fuentedeprrafopredeter"/>
    <w:link w:val="Ttulo3"/>
    <w:uiPriority w:val="9"/>
    <w:rsid w:val="00960880"/>
    <w:rPr>
      <w:rFonts w:ascii="Times New Roman" w:eastAsiaTheme="majorEastAsia" w:hAnsi="Times New Roman" w:cstheme="majorBidi"/>
      <w:b/>
      <w:sz w:val="24"/>
      <w:szCs w:val="24"/>
      <w:lang w:val="es-EC"/>
    </w:rPr>
  </w:style>
  <w:style w:type="paragraph" w:styleId="Bibliografa">
    <w:name w:val="Bibliography"/>
    <w:basedOn w:val="Normal"/>
    <w:next w:val="Normal"/>
    <w:uiPriority w:val="37"/>
    <w:unhideWhenUsed/>
    <w:rsid w:val="007E2B80"/>
    <w:pPr>
      <w:spacing w:line="480" w:lineRule="auto"/>
      <w:ind w:left="720" w:hanging="720"/>
    </w:pPr>
  </w:style>
  <w:style w:type="paragraph" w:styleId="Prrafodelista">
    <w:name w:val="List Paragraph"/>
    <w:basedOn w:val="Normal"/>
    <w:uiPriority w:val="1"/>
    <w:qFormat/>
    <w:rsid w:val="00461B12"/>
    <w:pPr>
      <w:ind w:left="720"/>
      <w:contextualSpacing/>
    </w:pPr>
  </w:style>
  <w:style w:type="paragraph" w:styleId="Textoindependiente">
    <w:name w:val="Body Text"/>
    <w:basedOn w:val="Normal"/>
    <w:link w:val="TextoindependienteCar"/>
    <w:uiPriority w:val="1"/>
    <w:rsid w:val="00CD2189"/>
    <w:pPr>
      <w:widowControl w:val="0"/>
      <w:autoSpaceDE w:val="0"/>
      <w:autoSpaceDN w:val="0"/>
    </w:pPr>
    <w:rPr>
      <w:rFonts w:eastAsia="Arial" w:cs="Arial"/>
      <w:lang w:val="es-ES"/>
    </w:rPr>
  </w:style>
  <w:style w:type="character" w:customStyle="1" w:styleId="TextoindependienteCar">
    <w:name w:val="Texto independiente Car"/>
    <w:basedOn w:val="Fuentedeprrafopredeter"/>
    <w:link w:val="Textoindependiente"/>
    <w:uiPriority w:val="1"/>
    <w:rsid w:val="00CD2189"/>
    <w:rPr>
      <w:rFonts w:ascii="Arial" w:eastAsia="Arial" w:hAnsi="Arial" w:cs="Arial"/>
      <w:sz w:val="24"/>
      <w:lang w:val="es-ES"/>
    </w:rPr>
  </w:style>
  <w:style w:type="character" w:customStyle="1" w:styleId="Ttulo4Car">
    <w:name w:val="Título 4 Car"/>
    <w:basedOn w:val="Fuentedeprrafopredeter"/>
    <w:link w:val="Ttulo4"/>
    <w:uiPriority w:val="9"/>
    <w:semiHidden/>
    <w:rsid w:val="0094239B"/>
    <w:rPr>
      <w:rFonts w:asciiTheme="majorHAnsi" w:eastAsiaTheme="majorEastAsia" w:hAnsiTheme="majorHAnsi" w:cstheme="majorBidi"/>
      <w:i/>
      <w:iCs/>
      <w:color w:val="2F5496" w:themeColor="accent1" w:themeShade="BF"/>
      <w:sz w:val="24"/>
      <w:lang w:val="es-EC"/>
    </w:rPr>
  </w:style>
  <w:style w:type="character" w:styleId="nfasis">
    <w:name w:val="Emphasis"/>
    <w:basedOn w:val="Fuentedeprrafopredeter"/>
    <w:uiPriority w:val="20"/>
    <w:qFormat/>
    <w:rsid w:val="0094239B"/>
    <w:rPr>
      <w:i/>
      <w:iCs/>
    </w:rPr>
  </w:style>
  <w:style w:type="character" w:customStyle="1" w:styleId="mi">
    <w:name w:val="mi"/>
    <w:basedOn w:val="Fuentedeprrafopredeter"/>
    <w:rsid w:val="0094239B"/>
  </w:style>
  <w:style w:type="character" w:customStyle="1" w:styleId="mo">
    <w:name w:val="mo"/>
    <w:basedOn w:val="Fuentedeprrafopredeter"/>
    <w:rsid w:val="0094239B"/>
  </w:style>
  <w:style w:type="character" w:customStyle="1" w:styleId="mn">
    <w:name w:val="mn"/>
    <w:basedOn w:val="Fuentedeprrafopredeter"/>
    <w:rsid w:val="0094239B"/>
  </w:style>
  <w:style w:type="paragraph" w:styleId="Sinespaciado">
    <w:name w:val="No Spacing"/>
    <w:uiPriority w:val="1"/>
    <w:qFormat/>
    <w:rsid w:val="002417C5"/>
    <w:pPr>
      <w:spacing w:after="0" w:line="240" w:lineRule="auto"/>
      <w:contextualSpacing/>
      <w:jc w:val="both"/>
    </w:pPr>
    <w:rPr>
      <w:rFonts w:ascii="Times New Roman" w:hAnsi="Times New Roman"/>
      <w:sz w:val="24"/>
      <w:lang w:val="es-EC"/>
    </w:rPr>
  </w:style>
  <w:style w:type="paragraph" w:customStyle="1" w:styleId="MDPI39equation">
    <w:name w:val="MDPI_3.9_equation"/>
    <w:qFormat/>
    <w:rsid w:val="00E24213"/>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eastAsia="de-DE" w:bidi="en-US"/>
    </w:rPr>
  </w:style>
  <w:style w:type="paragraph" w:customStyle="1" w:styleId="MDPI3aequationnumber">
    <w:name w:val="MDPI_3.a_equation_number"/>
    <w:qFormat/>
    <w:rsid w:val="00E24213"/>
    <w:pPr>
      <w:spacing w:before="120" w:after="120" w:line="240" w:lineRule="auto"/>
      <w:jc w:val="right"/>
    </w:pPr>
    <w:rPr>
      <w:rFonts w:ascii="Palatino Linotype" w:eastAsia="Times New Roman" w:hAnsi="Palatino Linotype" w:cs="Times New Roman"/>
      <w:snapToGrid w:val="0"/>
      <w:color w:val="000000"/>
      <w:sz w:val="20"/>
      <w:lang w:eastAsia="de-DE" w:bidi="en-US"/>
    </w:rPr>
  </w:style>
  <w:style w:type="table" w:customStyle="1" w:styleId="Tablaconcuadrcula1clara-nfasis11">
    <w:name w:val="Tabla con cuadrícula 1 clara - Énfasis 11"/>
    <w:basedOn w:val="Tablanormal"/>
    <w:uiPriority w:val="46"/>
    <w:rsid w:val="00E7320B"/>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E7320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5674D8"/>
    <w:rPr>
      <w:sz w:val="20"/>
      <w:szCs w:val="20"/>
    </w:rPr>
  </w:style>
  <w:style w:type="character" w:customStyle="1" w:styleId="TextonotapieCar">
    <w:name w:val="Texto nota pie Car"/>
    <w:basedOn w:val="Fuentedeprrafopredeter"/>
    <w:link w:val="Textonotapie"/>
    <w:uiPriority w:val="99"/>
    <w:semiHidden/>
    <w:rsid w:val="005674D8"/>
    <w:rPr>
      <w:rFonts w:ascii="Arial" w:hAnsi="Arial"/>
      <w:sz w:val="20"/>
      <w:szCs w:val="20"/>
      <w:lang w:val="es-EC"/>
    </w:rPr>
  </w:style>
  <w:style w:type="character" w:styleId="Refdenotaalpie">
    <w:name w:val="footnote reference"/>
    <w:basedOn w:val="Fuentedeprrafopredeter"/>
    <w:uiPriority w:val="99"/>
    <w:semiHidden/>
    <w:unhideWhenUsed/>
    <w:rsid w:val="005674D8"/>
    <w:rPr>
      <w:vertAlign w:val="superscript"/>
    </w:rPr>
  </w:style>
  <w:style w:type="character" w:customStyle="1" w:styleId="jlqj4b">
    <w:name w:val="jlqj4b"/>
    <w:basedOn w:val="Fuentedeprrafopredeter"/>
    <w:rsid w:val="00A30E5E"/>
  </w:style>
  <w:style w:type="character" w:customStyle="1" w:styleId="markedcontent">
    <w:name w:val="markedcontent"/>
    <w:basedOn w:val="Fuentedeprrafopredeter"/>
    <w:rsid w:val="007877DD"/>
  </w:style>
  <w:style w:type="character" w:styleId="Textoennegrita">
    <w:name w:val="Strong"/>
    <w:basedOn w:val="Fuentedeprrafopredeter"/>
    <w:uiPriority w:val="22"/>
    <w:qFormat/>
    <w:rsid w:val="00136E49"/>
    <w:rPr>
      <w:b/>
      <w:bCs/>
    </w:rPr>
  </w:style>
  <w:style w:type="character" w:customStyle="1" w:styleId="unidade">
    <w:name w:val="unidade"/>
    <w:basedOn w:val="Fuentedeprrafopredeter"/>
    <w:rsid w:val="001E5A3F"/>
  </w:style>
  <w:style w:type="character" w:customStyle="1" w:styleId="u-custom-list-number">
    <w:name w:val="u-custom-list-number"/>
    <w:basedOn w:val="Fuentedeprrafopredeter"/>
    <w:rsid w:val="00170C7D"/>
  </w:style>
  <w:style w:type="character" w:customStyle="1" w:styleId="xref-bibr">
    <w:name w:val="xref-bibr"/>
    <w:basedOn w:val="Fuentedeprrafopredeter"/>
    <w:rsid w:val="001737BB"/>
  </w:style>
  <w:style w:type="character" w:styleId="Refdecomentario">
    <w:name w:val="annotation reference"/>
    <w:basedOn w:val="Fuentedeprrafopredeter"/>
    <w:uiPriority w:val="99"/>
    <w:semiHidden/>
    <w:unhideWhenUsed/>
    <w:rsid w:val="00A651B1"/>
    <w:rPr>
      <w:sz w:val="16"/>
      <w:szCs w:val="16"/>
    </w:rPr>
  </w:style>
  <w:style w:type="paragraph" w:styleId="Textocomentario">
    <w:name w:val="annotation text"/>
    <w:basedOn w:val="Normal"/>
    <w:link w:val="TextocomentarioCar"/>
    <w:uiPriority w:val="99"/>
    <w:semiHidden/>
    <w:unhideWhenUsed/>
    <w:rsid w:val="00A651B1"/>
    <w:rPr>
      <w:sz w:val="20"/>
      <w:szCs w:val="20"/>
    </w:rPr>
  </w:style>
  <w:style w:type="character" w:customStyle="1" w:styleId="TextocomentarioCar">
    <w:name w:val="Texto comentario Car"/>
    <w:basedOn w:val="Fuentedeprrafopredeter"/>
    <w:link w:val="Textocomentario"/>
    <w:uiPriority w:val="99"/>
    <w:semiHidden/>
    <w:rsid w:val="00A651B1"/>
    <w:rPr>
      <w:rFonts w:ascii="Times New Roman" w:hAnsi="Times New Roman"/>
      <w:sz w:val="20"/>
      <w:szCs w:val="20"/>
      <w:lang w:val="es-EC"/>
    </w:rPr>
  </w:style>
  <w:style w:type="paragraph" w:styleId="Asuntodelcomentario">
    <w:name w:val="annotation subject"/>
    <w:basedOn w:val="Textocomentario"/>
    <w:next w:val="Textocomentario"/>
    <w:link w:val="AsuntodelcomentarioCar"/>
    <w:uiPriority w:val="99"/>
    <w:semiHidden/>
    <w:unhideWhenUsed/>
    <w:rsid w:val="00A651B1"/>
    <w:rPr>
      <w:b/>
      <w:bCs/>
    </w:rPr>
  </w:style>
  <w:style w:type="character" w:customStyle="1" w:styleId="AsuntodelcomentarioCar">
    <w:name w:val="Asunto del comentario Car"/>
    <w:basedOn w:val="TextocomentarioCar"/>
    <w:link w:val="Asuntodelcomentario"/>
    <w:uiPriority w:val="99"/>
    <w:semiHidden/>
    <w:rsid w:val="00A651B1"/>
    <w:rPr>
      <w:rFonts w:ascii="Times New Roman" w:hAnsi="Times New Roman"/>
      <w:b/>
      <w:bCs/>
      <w:sz w:val="20"/>
      <w:szCs w:val="20"/>
      <w:lang w:val="es-EC"/>
    </w:rPr>
  </w:style>
  <w:style w:type="paragraph" w:customStyle="1" w:styleId="MDPI13authornames">
    <w:name w:val="MDPI_1.3_authornames"/>
    <w:next w:val="Normal"/>
    <w:qFormat/>
    <w:rsid w:val="002F18F2"/>
    <w:pPr>
      <w:adjustRightInd w:val="0"/>
      <w:snapToGrid w:val="0"/>
      <w:spacing w:after="360" w:line="260" w:lineRule="atLeast"/>
    </w:pPr>
    <w:rPr>
      <w:rFonts w:ascii="Palatino Linotype" w:eastAsia="Times New Roman" w:hAnsi="Palatino Linotype" w:cs="Times New Roman"/>
      <w:b/>
      <w:color w:val="000000"/>
      <w:sz w:val="20"/>
      <w:lang w:eastAsia="de-DE" w:bidi="en-US"/>
    </w:rPr>
  </w:style>
  <w:style w:type="character" w:customStyle="1" w:styleId="rynqvb">
    <w:name w:val="rynqvb"/>
    <w:basedOn w:val="Fuentedeprrafopredeter"/>
    <w:rsid w:val="00C856CC"/>
  </w:style>
  <w:style w:type="character" w:customStyle="1" w:styleId="Ttulo6Car">
    <w:name w:val="Título 6 Car"/>
    <w:basedOn w:val="Fuentedeprrafopredeter"/>
    <w:link w:val="Ttulo6"/>
    <w:uiPriority w:val="9"/>
    <w:semiHidden/>
    <w:rsid w:val="00CE7A10"/>
    <w:rPr>
      <w:rFonts w:asciiTheme="majorHAnsi" w:eastAsiaTheme="majorEastAsia" w:hAnsiTheme="majorHAnsi" w:cstheme="majorBidi"/>
      <w:i/>
      <w:iCs/>
      <w:color w:val="1F3763" w:themeColor="accent1" w:themeShade="7F"/>
      <w:sz w:val="24"/>
      <w:lang w:val="es-EC"/>
    </w:rPr>
  </w:style>
  <w:style w:type="character" w:customStyle="1" w:styleId="Ttulo7Car">
    <w:name w:val="Título 7 Car"/>
    <w:basedOn w:val="Fuentedeprrafopredeter"/>
    <w:link w:val="Ttulo7"/>
    <w:uiPriority w:val="9"/>
    <w:semiHidden/>
    <w:rsid w:val="00CE7A10"/>
    <w:rPr>
      <w:rFonts w:asciiTheme="majorHAnsi" w:eastAsiaTheme="majorEastAsia" w:hAnsiTheme="majorHAnsi" w:cstheme="majorBidi"/>
      <w:i/>
      <w:iCs/>
      <w:color w:val="404040" w:themeColor="text1" w:themeTint="BF"/>
      <w:sz w:val="24"/>
      <w:lang w:val="es-EC"/>
    </w:rPr>
  </w:style>
  <w:style w:type="character" w:customStyle="1" w:styleId="Ttulo8Car">
    <w:name w:val="Título 8 Car"/>
    <w:basedOn w:val="Fuentedeprrafopredeter"/>
    <w:link w:val="Ttulo8"/>
    <w:uiPriority w:val="9"/>
    <w:semiHidden/>
    <w:rsid w:val="00CE7A10"/>
    <w:rPr>
      <w:rFonts w:asciiTheme="majorHAnsi" w:eastAsiaTheme="majorEastAsia" w:hAnsiTheme="majorHAnsi" w:cstheme="majorBidi"/>
      <w:color w:val="404040" w:themeColor="text1" w:themeTint="BF"/>
      <w:sz w:val="20"/>
      <w:szCs w:val="20"/>
      <w:lang w:val="es-EC"/>
    </w:rPr>
  </w:style>
  <w:style w:type="character" w:customStyle="1" w:styleId="Ttulo9Car">
    <w:name w:val="Título 9 Car"/>
    <w:basedOn w:val="Fuentedeprrafopredeter"/>
    <w:link w:val="Ttulo9"/>
    <w:uiPriority w:val="9"/>
    <w:semiHidden/>
    <w:rsid w:val="00CE7A10"/>
    <w:rPr>
      <w:rFonts w:asciiTheme="majorHAnsi" w:eastAsiaTheme="majorEastAsia" w:hAnsiTheme="majorHAnsi" w:cstheme="majorBidi"/>
      <w:i/>
      <w:iCs/>
      <w:color w:val="404040" w:themeColor="text1" w:themeTint="BF"/>
      <w:sz w:val="20"/>
      <w:szCs w:val="20"/>
      <w:lang w:val="es-EC"/>
    </w:rPr>
  </w:style>
  <w:style w:type="table" w:customStyle="1" w:styleId="TableNormal">
    <w:name w:val="Table Normal"/>
    <w:uiPriority w:val="2"/>
    <w:semiHidden/>
    <w:unhideWhenUsed/>
    <w:qFormat/>
    <w:rsid w:val="00501EEA"/>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01EEA"/>
    <w:pPr>
      <w:widowControl w:val="0"/>
      <w:autoSpaceDE w:val="0"/>
      <w:autoSpaceDN w:val="0"/>
      <w:ind w:firstLine="0"/>
      <w:jc w:val="left"/>
    </w:pPr>
    <w:rPr>
      <w:rFonts w:ascii="Calibri Light" w:eastAsia="Calibri Light" w:hAnsi="Calibri Light" w:cs="Calibri Light"/>
      <w:sz w:val="22"/>
      <w:lang w:val="es-ES"/>
    </w:rPr>
  </w:style>
  <w:style w:type="paragraph" w:styleId="Textodeglobo">
    <w:name w:val="Balloon Text"/>
    <w:basedOn w:val="Normal"/>
    <w:link w:val="TextodegloboCar"/>
    <w:uiPriority w:val="99"/>
    <w:semiHidden/>
    <w:unhideWhenUsed/>
    <w:rsid w:val="00501EEA"/>
    <w:rPr>
      <w:rFonts w:ascii="Tahoma" w:hAnsi="Tahoma" w:cs="Tahoma"/>
      <w:sz w:val="16"/>
      <w:szCs w:val="16"/>
    </w:rPr>
  </w:style>
  <w:style w:type="character" w:customStyle="1" w:styleId="TextodegloboCar">
    <w:name w:val="Texto de globo Car"/>
    <w:basedOn w:val="Fuentedeprrafopredeter"/>
    <w:link w:val="Textodeglobo"/>
    <w:uiPriority w:val="99"/>
    <w:semiHidden/>
    <w:rsid w:val="00501EEA"/>
    <w:rPr>
      <w:rFonts w:ascii="Tahoma" w:hAnsi="Tahoma" w:cs="Tahoma"/>
      <w:sz w:val="16"/>
      <w:szCs w:val="16"/>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531108">
      <w:bodyDiv w:val="1"/>
      <w:marLeft w:val="0"/>
      <w:marRight w:val="0"/>
      <w:marTop w:val="0"/>
      <w:marBottom w:val="0"/>
      <w:divBdr>
        <w:top w:val="none" w:sz="0" w:space="0" w:color="auto"/>
        <w:left w:val="none" w:sz="0" w:space="0" w:color="auto"/>
        <w:bottom w:val="none" w:sz="0" w:space="0" w:color="auto"/>
        <w:right w:val="none" w:sz="0" w:space="0" w:color="auto"/>
      </w:divBdr>
    </w:div>
    <w:div w:id="276258641">
      <w:bodyDiv w:val="1"/>
      <w:marLeft w:val="0"/>
      <w:marRight w:val="0"/>
      <w:marTop w:val="0"/>
      <w:marBottom w:val="0"/>
      <w:divBdr>
        <w:top w:val="none" w:sz="0" w:space="0" w:color="auto"/>
        <w:left w:val="none" w:sz="0" w:space="0" w:color="auto"/>
        <w:bottom w:val="none" w:sz="0" w:space="0" w:color="auto"/>
        <w:right w:val="none" w:sz="0" w:space="0" w:color="auto"/>
      </w:divBdr>
    </w:div>
    <w:div w:id="326713362">
      <w:bodyDiv w:val="1"/>
      <w:marLeft w:val="0"/>
      <w:marRight w:val="0"/>
      <w:marTop w:val="0"/>
      <w:marBottom w:val="0"/>
      <w:divBdr>
        <w:top w:val="none" w:sz="0" w:space="0" w:color="auto"/>
        <w:left w:val="none" w:sz="0" w:space="0" w:color="auto"/>
        <w:bottom w:val="none" w:sz="0" w:space="0" w:color="auto"/>
        <w:right w:val="none" w:sz="0" w:space="0" w:color="auto"/>
      </w:divBdr>
    </w:div>
    <w:div w:id="337655386">
      <w:bodyDiv w:val="1"/>
      <w:marLeft w:val="0"/>
      <w:marRight w:val="0"/>
      <w:marTop w:val="0"/>
      <w:marBottom w:val="0"/>
      <w:divBdr>
        <w:top w:val="none" w:sz="0" w:space="0" w:color="auto"/>
        <w:left w:val="none" w:sz="0" w:space="0" w:color="auto"/>
        <w:bottom w:val="none" w:sz="0" w:space="0" w:color="auto"/>
        <w:right w:val="none" w:sz="0" w:space="0" w:color="auto"/>
      </w:divBdr>
    </w:div>
    <w:div w:id="358973142">
      <w:bodyDiv w:val="1"/>
      <w:marLeft w:val="0"/>
      <w:marRight w:val="0"/>
      <w:marTop w:val="0"/>
      <w:marBottom w:val="0"/>
      <w:divBdr>
        <w:top w:val="none" w:sz="0" w:space="0" w:color="auto"/>
        <w:left w:val="none" w:sz="0" w:space="0" w:color="auto"/>
        <w:bottom w:val="none" w:sz="0" w:space="0" w:color="auto"/>
        <w:right w:val="none" w:sz="0" w:space="0" w:color="auto"/>
      </w:divBdr>
    </w:div>
    <w:div w:id="362904010">
      <w:bodyDiv w:val="1"/>
      <w:marLeft w:val="0"/>
      <w:marRight w:val="0"/>
      <w:marTop w:val="0"/>
      <w:marBottom w:val="0"/>
      <w:divBdr>
        <w:top w:val="none" w:sz="0" w:space="0" w:color="auto"/>
        <w:left w:val="none" w:sz="0" w:space="0" w:color="auto"/>
        <w:bottom w:val="none" w:sz="0" w:space="0" w:color="auto"/>
        <w:right w:val="none" w:sz="0" w:space="0" w:color="auto"/>
      </w:divBdr>
    </w:div>
    <w:div w:id="373509904">
      <w:bodyDiv w:val="1"/>
      <w:marLeft w:val="0"/>
      <w:marRight w:val="0"/>
      <w:marTop w:val="0"/>
      <w:marBottom w:val="0"/>
      <w:divBdr>
        <w:top w:val="none" w:sz="0" w:space="0" w:color="auto"/>
        <w:left w:val="none" w:sz="0" w:space="0" w:color="auto"/>
        <w:bottom w:val="none" w:sz="0" w:space="0" w:color="auto"/>
        <w:right w:val="none" w:sz="0" w:space="0" w:color="auto"/>
      </w:divBdr>
    </w:div>
    <w:div w:id="543518304">
      <w:bodyDiv w:val="1"/>
      <w:marLeft w:val="0"/>
      <w:marRight w:val="0"/>
      <w:marTop w:val="0"/>
      <w:marBottom w:val="0"/>
      <w:divBdr>
        <w:top w:val="none" w:sz="0" w:space="0" w:color="auto"/>
        <w:left w:val="none" w:sz="0" w:space="0" w:color="auto"/>
        <w:bottom w:val="none" w:sz="0" w:space="0" w:color="auto"/>
        <w:right w:val="none" w:sz="0" w:space="0" w:color="auto"/>
      </w:divBdr>
      <w:divsChild>
        <w:div w:id="1031955406">
          <w:marLeft w:val="0"/>
          <w:marRight w:val="0"/>
          <w:marTop w:val="0"/>
          <w:marBottom w:val="0"/>
          <w:divBdr>
            <w:top w:val="none" w:sz="0" w:space="0" w:color="auto"/>
            <w:left w:val="none" w:sz="0" w:space="0" w:color="auto"/>
            <w:bottom w:val="none" w:sz="0" w:space="0" w:color="auto"/>
            <w:right w:val="none" w:sz="0" w:space="0" w:color="auto"/>
          </w:divBdr>
        </w:div>
        <w:div w:id="1888177763">
          <w:marLeft w:val="0"/>
          <w:marRight w:val="0"/>
          <w:marTop w:val="0"/>
          <w:marBottom w:val="0"/>
          <w:divBdr>
            <w:top w:val="none" w:sz="0" w:space="0" w:color="auto"/>
            <w:left w:val="none" w:sz="0" w:space="0" w:color="auto"/>
            <w:bottom w:val="none" w:sz="0" w:space="0" w:color="auto"/>
            <w:right w:val="none" w:sz="0" w:space="0" w:color="auto"/>
          </w:divBdr>
        </w:div>
        <w:div w:id="1122580926">
          <w:marLeft w:val="0"/>
          <w:marRight w:val="0"/>
          <w:marTop w:val="0"/>
          <w:marBottom w:val="0"/>
          <w:divBdr>
            <w:top w:val="none" w:sz="0" w:space="0" w:color="auto"/>
            <w:left w:val="none" w:sz="0" w:space="0" w:color="auto"/>
            <w:bottom w:val="none" w:sz="0" w:space="0" w:color="auto"/>
            <w:right w:val="none" w:sz="0" w:space="0" w:color="auto"/>
          </w:divBdr>
        </w:div>
        <w:div w:id="1640459776">
          <w:marLeft w:val="0"/>
          <w:marRight w:val="0"/>
          <w:marTop w:val="0"/>
          <w:marBottom w:val="0"/>
          <w:divBdr>
            <w:top w:val="none" w:sz="0" w:space="0" w:color="auto"/>
            <w:left w:val="none" w:sz="0" w:space="0" w:color="auto"/>
            <w:bottom w:val="none" w:sz="0" w:space="0" w:color="auto"/>
            <w:right w:val="none" w:sz="0" w:space="0" w:color="auto"/>
          </w:divBdr>
          <w:divsChild>
            <w:div w:id="900290949">
              <w:marLeft w:val="0"/>
              <w:marRight w:val="0"/>
              <w:marTop w:val="332"/>
              <w:marBottom w:val="332"/>
              <w:divBdr>
                <w:top w:val="none" w:sz="0" w:space="0" w:color="auto"/>
                <w:left w:val="none" w:sz="0" w:space="0" w:color="auto"/>
                <w:bottom w:val="none" w:sz="0" w:space="0" w:color="auto"/>
                <w:right w:val="none" w:sz="0" w:space="0" w:color="auto"/>
              </w:divBdr>
              <w:divsChild>
                <w:div w:id="12403623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91357276">
      <w:bodyDiv w:val="1"/>
      <w:marLeft w:val="0"/>
      <w:marRight w:val="0"/>
      <w:marTop w:val="0"/>
      <w:marBottom w:val="0"/>
      <w:divBdr>
        <w:top w:val="none" w:sz="0" w:space="0" w:color="auto"/>
        <w:left w:val="none" w:sz="0" w:space="0" w:color="auto"/>
        <w:bottom w:val="none" w:sz="0" w:space="0" w:color="auto"/>
        <w:right w:val="none" w:sz="0" w:space="0" w:color="auto"/>
      </w:divBdr>
    </w:div>
    <w:div w:id="595481650">
      <w:bodyDiv w:val="1"/>
      <w:marLeft w:val="0"/>
      <w:marRight w:val="0"/>
      <w:marTop w:val="0"/>
      <w:marBottom w:val="0"/>
      <w:divBdr>
        <w:top w:val="none" w:sz="0" w:space="0" w:color="auto"/>
        <w:left w:val="none" w:sz="0" w:space="0" w:color="auto"/>
        <w:bottom w:val="none" w:sz="0" w:space="0" w:color="auto"/>
        <w:right w:val="none" w:sz="0" w:space="0" w:color="auto"/>
      </w:divBdr>
    </w:div>
    <w:div w:id="740443897">
      <w:bodyDiv w:val="1"/>
      <w:marLeft w:val="0"/>
      <w:marRight w:val="0"/>
      <w:marTop w:val="0"/>
      <w:marBottom w:val="0"/>
      <w:divBdr>
        <w:top w:val="none" w:sz="0" w:space="0" w:color="auto"/>
        <w:left w:val="none" w:sz="0" w:space="0" w:color="auto"/>
        <w:bottom w:val="none" w:sz="0" w:space="0" w:color="auto"/>
        <w:right w:val="none" w:sz="0" w:space="0" w:color="auto"/>
      </w:divBdr>
    </w:div>
    <w:div w:id="812527439">
      <w:bodyDiv w:val="1"/>
      <w:marLeft w:val="0"/>
      <w:marRight w:val="0"/>
      <w:marTop w:val="0"/>
      <w:marBottom w:val="0"/>
      <w:divBdr>
        <w:top w:val="none" w:sz="0" w:space="0" w:color="auto"/>
        <w:left w:val="none" w:sz="0" w:space="0" w:color="auto"/>
        <w:bottom w:val="none" w:sz="0" w:space="0" w:color="auto"/>
        <w:right w:val="none" w:sz="0" w:space="0" w:color="auto"/>
      </w:divBdr>
    </w:div>
    <w:div w:id="839585426">
      <w:bodyDiv w:val="1"/>
      <w:marLeft w:val="0"/>
      <w:marRight w:val="0"/>
      <w:marTop w:val="0"/>
      <w:marBottom w:val="0"/>
      <w:divBdr>
        <w:top w:val="none" w:sz="0" w:space="0" w:color="auto"/>
        <w:left w:val="none" w:sz="0" w:space="0" w:color="auto"/>
        <w:bottom w:val="none" w:sz="0" w:space="0" w:color="auto"/>
        <w:right w:val="none" w:sz="0" w:space="0" w:color="auto"/>
      </w:divBdr>
    </w:div>
    <w:div w:id="978806966">
      <w:bodyDiv w:val="1"/>
      <w:marLeft w:val="0"/>
      <w:marRight w:val="0"/>
      <w:marTop w:val="0"/>
      <w:marBottom w:val="0"/>
      <w:divBdr>
        <w:top w:val="none" w:sz="0" w:space="0" w:color="auto"/>
        <w:left w:val="none" w:sz="0" w:space="0" w:color="auto"/>
        <w:bottom w:val="none" w:sz="0" w:space="0" w:color="auto"/>
        <w:right w:val="none" w:sz="0" w:space="0" w:color="auto"/>
      </w:divBdr>
    </w:div>
    <w:div w:id="1012033078">
      <w:bodyDiv w:val="1"/>
      <w:marLeft w:val="0"/>
      <w:marRight w:val="0"/>
      <w:marTop w:val="0"/>
      <w:marBottom w:val="0"/>
      <w:divBdr>
        <w:top w:val="none" w:sz="0" w:space="0" w:color="auto"/>
        <w:left w:val="none" w:sz="0" w:space="0" w:color="auto"/>
        <w:bottom w:val="none" w:sz="0" w:space="0" w:color="auto"/>
        <w:right w:val="none" w:sz="0" w:space="0" w:color="auto"/>
      </w:divBdr>
    </w:div>
    <w:div w:id="1016273645">
      <w:bodyDiv w:val="1"/>
      <w:marLeft w:val="0"/>
      <w:marRight w:val="0"/>
      <w:marTop w:val="0"/>
      <w:marBottom w:val="0"/>
      <w:divBdr>
        <w:top w:val="none" w:sz="0" w:space="0" w:color="auto"/>
        <w:left w:val="none" w:sz="0" w:space="0" w:color="auto"/>
        <w:bottom w:val="none" w:sz="0" w:space="0" w:color="auto"/>
        <w:right w:val="none" w:sz="0" w:space="0" w:color="auto"/>
      </w:divBdr>
      <w:divsChild>
        <w:div w:id="1412698318">
          <w:marLeft w:val="0"/>
          <w:marRight w:val="0"/>
          <w:marTop w:val="0"/>
          <w:marBottom w:val="0"/>
          <w:divBdr>
            <w:top w:val="none" w:sz="0" w:space="0" w:color="auto"/>
            <w:left w:val="none" w:sz="0" w:space="0" w:color="auto"/>
            <w:bottom w:val="none" w:sz="0" w:space="0" w:color="auto"/>
            <w:right w:val="none" w:sz="0" w:space="0" w:color="auto"/>
          </w:divBdr>
        </w:div>
      </w:divsChild>
    </w:div>
    <w:div w:id="1088768058">
      <w:bodyDiv w:val="1"/>
      <w:marLeft w:val="0"/>
      <w:marRight w:val="0"/>
      <w:marTop w:val="0"/>
      <w:marBottom w:val="0"/>
      <w:divBdr>
        <w:top w:val="none" w:sz="0" w:space="0" w:color="auto"/>
        <w:left w:val="none" w:sz="0" w:space="0" w:color="auto"/>
        <w:bottom w:val="none" w:sz="0" w:space="0" w:color="auto"/>
        <w:right w:val="none" w:sz="0" w:space="0" w:color="auto"/>
      </w:divBdr>
    </w:div>
    <w:div w:id="1136753546">
      <w:bodyDiv w:val="1"/>
      <w:marLeft w:val="0"/>
      <w:marRight w:val="0"/>
      <w:marTop w:val="0"/>
      <w:marBottom w:val="0"/>
      <w:divBdr>
        <w:top w:val="none" w:sz="0" w:space="0" w:color="auto"/>
        <w:left w:val="none" w:sz="0" w:space="0" w:color="auto"/>
        <w:bottom w:val="none" w:sz="0" w:space="0" w:color="auto"/>
        <w:right w:val="none" w:sz="0" w:space="0" w:color="auto"/>
      </w:divBdr>
    </w:div>
    <w:div w:id="1154761375">
      <w:bodyDiv w:val="1"/>
      <w:marLeft w:val="0"/>
      <w:marRight w:val="0"/>
      <w:marTop w:val="0"/>
      <w:marBottom w:val="0"/>
      <w:divBdr>
        <w:top w:val="none" w:sz="0" w:space="0" w:color="auto"/>
        <w:left w:val="none" w:sz="0" w:space="0" w:color="auto"/>
        <w:bottom w:val="none" w:sz="0" w:space="0" w:color="auto"/>
        <w:right w:val="none" w:sz="0" w:space="0" w:color="auto"/>
      </w:divBdr>
    </w:div>
    <w:div w:id="1210804599">
      <w:bodyDiv w:val="1"/>
      <w:marLeft w:val="0"/>
      <w:marRight w:val="0"/>
      <w:marTop w:val="0"/>
      <w:marBottom w:val="0"/>
      <w:divBdr>
        <w:top w:val="none" w:sz="0" w:space="0" w:color="auto"/>
        <w:left w:val="none" w:sz="0" w:space="0" w:color="auto"/>
        <w:bottom w:val="none" w:sz="0" w:space="0" w:color="auto"/>
        <w:right w:val="none" w:sz="0" w:space="0" w:color="auto"/>
      </w:divBdr>
    </w:div>
    <w:div w:id="1250770761">
      <w:bodyDiv w:val="1"/>
      <w:marLeft w:val="0"/>
      <w:marRight w:val="0"/>
      <w:marTop w:val="0"/>
      <w:marBottom w:val="0"/>
      <w:divBdr>
        <w:top w:val="none" w:sz="0" w:space="0" w:color="auto"/>
        <w:left w:val="none" w:sz="0" w:space="0" w:color="auto"/>
        <w:bottom w:val="none" w:sz="0" w:space="0" w:color="auto"/>
        <w:right w:val="none" w:sz="0" w:space="0" w:color="auto"/>
      </w:divBdr>
    </w:div>
    <w:div w:id="1372419815">
      <w:bodyDiv w:val="1"/>
      <w:marLeft w:val="0"/>
      <w:marRight w:val="0"/>
      <w:marTop w:val="0"/>
      <w:marBottom w:val="0"/>
      <w:divBdr>
        <w:top w:val="none" w:sz="0" w:space="0" w:color="auto"/>
        <w:left w:val="none" w:sz="0" w:space="0" w:color="auto"/>
        <w:bottom w:val="none" w:sz="0" w:space="0" w:color="auto"/>
        <w:right w:val="none" w:sz="0" w:space="0" w:color="auto"/>
      </w:divBdr>
    </w:div>
    <w:div w:id="1384595905">
      <w:bodyDiv w:val="1"/>
      <w:marLeft w:val="0"/>
      <w:marRight w:val="0"/>
      <w:marTop w:val="0"/>
      <w:marBottom w:val="0"/>
      <w:divBdr>
        <w:top w:val="none" w:sz="0" w:space="0" w:color="auto"/>
        <w:left w:val="none" w:sz="0" w:space="0" w:color="auto"/>
        <w:bottom w:val="none" w:sz="0" w:space="0" w:color="auto"/>
        <w:right w:val="none" w:sz="0" w:space="0" w:color="auto"/>
      </w:divBdr>
    </w:div>
    <w:div w:id="1417439170">
      <w:bodyDiv w:val="1"/>
      <w:marLeft w:val="0"/>
      <w:marRight w:val="0"/>
      <w:marTop w:val="0"/>
      <w:marBottom w:val="0"/>
      <w:divBdr>
        <w:top w:val="none" w:sz="0" w:space="0" w:color="auto"/>
        <w:left w:val="none" w:sz="0" w:space="0" w:color="auto"/>
        <w:bottom w:val="none" w:sz="0" w:space="0" w:color="auto"/>
        <w:right w:val="none" w:sz="0" w:space="0" w:color="auto"/>
      </w:divBdr>
    </w:div>
    <w:div w:id="1475372104">
      <w:bodyDiv w:val="1"/>
      <w:marLeft w:val="0"/>
      <w:marRight w:val="0"/>
      <w:marTop w:val="0"/>
      <w:marBottom w:val="0"/>
      <w:divBdr>
        <w:top w:val="none" w:sz="0" w:space="0" w:color="auto"/>
        <w:left w:val="none" w:sz="0" w:space="0" w:color="auto"/>
        <w:bottom w:val="none" w:sz="0" w:space="0" w:color="auto"/>
        <w:right w:val="none" w:sz="0" w:space="0" w:color="auto"/>
      </w:divBdr>
      <w:divsChild>
        <w:div w:id="347214815">
          <w:marLeft w:val="0"/>
          <w:marRight w:val="0"/>
          <w:marTop w:val="0"/>
          <w:marBottom w:val="0"/>
          <w:divBdr>
            <w:top w:val="none" w:sz="0" w:space="0" w:color="auto"/>
            <w:left w:val="none" w:sz="0" w:space="0" w:color="auto"/>
            <w:bottom w:val="none" w:sz="0" w:space="0" w:color="auto"/>
            <w:right w:val="none" w:sz="0" w:space="0" w:color="auto"/>
          </w:divBdr>
        </w:div>
      </w:divsChild>
    </w:div>
    <w:div w:id="1518617847">
      <w:bodyDiv w:val="1"/>
      <w:marLeft w:val="0"/>
      <w:marRight w:val="0"/>
      <w:marTop w:val="0"/>
      <w:marBottom w:val="0"/>
      <w:divBdr>
        <w:top w:val="none" w:sz="0" w:space="0" w:color="auto"/>
        <w:left w:val="none" w:sz="0" w:space="0" w:color="auto"/>
        <w:bottom w:val="none" w:sz="0" w:space="0" w:color="auto"/>
        <w:right w:val="none" w:sz="0" w:space="0" w:color="auto"/>
      </w:divBdr>
    </w:div>
    <w:div w:id="1584531073">
      <w:bodyDiv w:val="1"/>
      <w:marLeft w:val="0"/>
      <w:marRight w:val="0"/>
      <w:marTop w:val="0"/>
      <w:marBottom w:val="0"/>
      <w:divBdr>
        <w:top w:val="none" w:sz="0" w:space="0" w:color="auto"/>
        <w:left w:val="none" w:sz="0" w:space="0" w:color="auto"/>
        <w:bottom w:val="none" w:sz="0" w:space="0" w:color="auto"/>
        <w:right w:val="none" w:sz="0" w:space="0" w:color="auto"/>
      </w:divBdr>
    </w:div>
    <w:div w:id="1648433248">
      <w:bodyDiv w:val="1"/>
      <w:marLeft w:val="0"/>
      <w:marRight w:val="0"/>
      <w:marTop w:val="0"/>
      <w:marBottom w:val="0"/>
      <w:divBdr>
        <w:top w:val="none" w:sz="0" w:space="0" w:color="auto"/>
        <w:left w:val="none" w:sz="0" w:space="0" w:color="auto"/>
        <w:bottom w:val="none" w:sz="0" w:space="0" w:color="auto"/>
        <w:right w:val="none" w:sz="0" w:space="0" w:color="auto"/>
      </w:divBdr>
      <w:divsChild>
        <w:div w:id="432822567">
          <w:marLeft w:val="0"/>
          <w:marRight w:val="0"/>
          <w:marTop w:val="0"/>
          <w:marBottom w:val="0"/>
          <w:divBdr>
            <w:top w:val="none" w:sz="0" w:space="0" w:color="auto"/>
            <w:left w:val="none" w:sz="0" w:space="0" w:color="auto"/>
            <w:bottom w:val="none" w:sz="0" w:space="0" w:color="auto"/>
            <w:right w:val="none" w:sz="0" w:space="0" w:color="auto"/>
          </w:divBdr>
        </w:div>
      </w:divsChild>
    </w:div>
    <w:div w:id="1666974195">
      <w:bodyDiv w:val="1"/>
      <w:marLeft w:val="0"/>
      <w:marRight w:val="0"/>
      <w:marTop w:val="0"/>
      <w:marBottom w:val="0"/>
      <w:divBdr>
        <w:top w:val="none" w:sz="0" w:space="0" w:color="auto"/>
        <w:left w:val="none" w:sz="0" w:space="0" w:color="auto"/>
        <w:bottom w:val="none" w:sz="0" w:space="0" w:color="auto"/>
        <w:right w:val="none" w:sz="0" w:space="0" w:color="auto"/>
      </w:divBdr>
    </w:div>
    <w:div w:id="1776093686">
      <w:bodyDiv w:val="1"/>
      <w:marLeft w:val="0"/>
      <w:marRight w:val="0"/>
      <w:marTop w:val="0"/>
      <w:marBottom w:val="0"/>
      <w:divBdr>
        <w:top w:val="none" w:sz="0" w:space="0" w:color="auto"/>
        <w:left w:val="none" w:sz="0" w:space="0" w:color="auto"/>
        <w:bottom w:val="none" w:sz="0" w:space="0" w:color="auto"/>
        <w:right w:val="none" w:sz="0" w:space="0" w:color="auto"/>
      </w:divBdr>
    </w:div>
    <w:div w:id="1810780464">
      <w:bodyDiv w:val="1"/>
      <w:marLeft w:val="0"/>
      <w:marRight w:val="0"/>
      <w:marTop w:val="0"/>
      <w:marBottom w:val="0"/>
      <w:divBdr>
        <w:top w:val="none" w:sz="0" w:space="0" w:color="auto"/>
        <w:left w:val="none" w:sz="0" w:space="0" w:color="auto"/>
        <w:bottom w:val="none" w:sz="0" w:space="0" w:color="auto"/>
        <w:right w:val="none" w:sz="0" w:space="0" w:color="auto"/>
      </w:divBdr>
    </w:div>
    <w:div w:id="1878153963">
      <w:bodyDiv w:val="1"/>
      <w:marLeft w:val="0"/>
      <w:marRight w:val="0"/>
      <w:marTop w:val="0"/>
      <w:marBottom w:val="0"/>
      <w:divBdr>
        <w:top w:val="none" w:sz="0" w:space="0" w:color="auto"/>
        <w:left w:val="none" w:sz="0" w:space="0" w:color="auto"/>
        <w:bottom w:val="none" w:sz="0" w:space="0" w:color="auto"/>
        <w:right w:val="none" w:sz="0" w:space="0" w:color="auto"/>
      </w:divBdr>
    </w:div>
    <w:div w:id="214041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1.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emf"/><Relationship Id="rId22" Type="http://schemas.openxmlformats.org/officeDocument/2006/relationships/image" Target="media/image1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64800-1F52-41AA-89E0-A86A136AA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4219</Words>
  <Characters>23210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CFN B.P</Company>
  <LinksUpToDate>false</LinksUpToDate>
  <CharactersWithSpaces>27375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Antonio Cañaveral Romero</dc:creator>
  <cp:lastModifiedBy>MCANAVERAL</cp:lastModifiedBy>
  <cp:revision>16</cp:revision>
  <cp:lastPrinted>2021-05-31T05:59:00Z</cp:lastPrinted>
  <dcterms:created xsi:type="dcterms:W3CDTF">2025-10-02T21:57:00Z</dcterms:created>
  <dcterms:modified xsi:type="dcterms:W3CDTF">2026-02-20T00:41:00Z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id="gwFHSNKA"/&gt;&lt;style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