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Ce qui se passe si vous dépassez 41 250 €</w:t>
      </w:r>
    </w:p>
    <w:p>
      <w:pPr>
        <w:spacing w:after="120"/>
      </w:pPr>
      <w:r>
        <w:rPr>
          <w:i/>
          <w:iCs/>
        </w:rPr>
        <w:t xml:space="preserve">Hypothèse : micro-entrepreneur en prestation de services. Pour ces activités, le seuil de franchise de TVA est de 37 500 €, avec un seuil majoré à 41 250 €. Les règles ont été en discussion récemment : vérifiez les chiffres sur impots.gouv.fr ou auprès de votre service des impôts des entreprises (SIE) avant d'agir.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Vous perdez la franchise en base. La TVA devient due dès le mois (ou le jour, selon le cas) du dépassement, sans attendre l'année suivante.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vous dépassez seulement 37 500 €, sans atteindre 41 250 €, vous restez sans TVA jusqu'à la fin de l'année. La franchise tombe l'année suivante si vous dépassez encore le seuil de base.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2026-10-07T19:28:57.706Z</dcterms:created>
  <dcterms:modified xsi:type="dcterms:W3CDTF">2026-10-07T19:28:57.711Z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