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58"/>
        <w:gridCol w:w="4820"/>
        <w:gridCol w:w="2976"/>
      </w:tblGrid>
      <w:tr w:rsidR="00D36336" w:rsidRPr="00902FDE" w:rsidTr="00226C8D">
        <w:trPr>
          <w:trHeight w:val="300"/>
        </w:trPr>
        <w:tc>
          <w:tcPr>
            <w:tcW w:w="1858" w:type="dxa"/>
            <w:shd w:val="clear" w:color="000000" w:fill="D9D9D9"/>
            <w:noWrap/>
            <w:vAlign w:val="bottom"/>
          </w:tcPr>
          <w:p w:rsidR="00D36336" w:rsidRPr="00226C8D" w:rsidRDefault="00D36336" w:rsidP="00226C8D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bookmarkStart w:id="0" w:name="_GoBack" w:colFirst="0" w:colLast="2"/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CAPACIDADE</w:t>
            </w:r>
          </w:p>
        </w:tc>
        <w:tc>
          <w:tcPr>
            <w:tcW w:w="4820" w:type="dxa"/>
            <w:shd w:val="clear" w:color="000000" w:fill="D9D9D9"/>
            <w:noWrap/>
            <w:vAlign w:val="bottom"/>
          </w:tcPr>
          <w:p w:rsidR="00D36336" w:rsidRPr="00226C8D" w:rsidRDefault="00D36336" w:rsidP="00226C8D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PERSPECTIVA HUMANA</w:t>
            </w:r>
          </w:p>
        </w:tc>
        <w:tc>
          <w:tcPr>
            <w:tcW w:w="2976" w:type="dxa"/>
            <w:shd w:val="clear" w:color="000000" w:fill="D9D9D9"/>
            <w:noWrap/>
            <w:vAlign w:val="bottom"/>
          </w:tcPr>
          <w:p w:rsidR="00D36336" w:rsidRPr="00226C8D" w:rsidRDefault="00D36336" w:rsidP="00226C8D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PERSPECTIVA OO</w:t>
            </w:r>
          </w:p>
        </w:tc>
      </w:tr>
      <w:bookmarkEnd w:id="0"/>
      <w:tr w:rsidR="00D36336" w:rsidRPr="00902FDE" w:rsidTr="00226C8D">
        <w:trPr>
          <w:trHeight w:val="1600"/>
        </w:trPr>
        <w:tc>
          <w:tcPr>
            <w:tcW w:w="1858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Classificação</w:t>
            </w:r>
          </w:p>
        </w:tc>
        <w:tc>
          <w:tcPr>
            <w:tcW w:w="4820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Percepção de semelhanças entre coisas atribuindo-lhe uma designação genérica. Exemplo : Jazz, Blues, Rock n'Roll, Bossa Nova etc., São estilos musicais.</w:t>
            </w:r>
          </w:p>
        </w:tc>
        <w:tc>
          <w:tcPr>
            <w:tcW w:w="2976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Generalização e especificação em um relacionamento de herança entre pai e filho.</w:t>
            </w:r>
          </w:p>
        </w:tc>
      </w:tr>
      <w:tr w:rsidR="00D36336" w:rsidRPr="00902FDE" w:rsidTr="00226C8D">
        <w:trPr>
          <w:trHeight w:val="1200"/>
        </w:trPr>
        <w:tc>
          <w:tcPr>
            <w:tcW w:w="1858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Composição</w:t>
            </w:r>
          </w:p>
        </w:tc>
        <w:tc>
          <w:tcPr>
            <w:tcW w:w="4820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Elemento cuja vida </w:t>
            </w: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está intimamente relacionada a um outro elemento. Exemplo: um braço no corpo humano.</w:t>
            </w:r>
          </w:p>
        </w:tc>
        <w:tc>
          <w:tcPr>
            <w:tcW w:w="2976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Agregação</w:t>
            </w:r>
          </w:p>
        </w:tc>
      </w:tr>
      <w:tr w:rsidR="00D36336" w:rsidRPr="00902FDE" w:rsidTr="00226C8D">
        <w:trPr>
          <w:trHeight w:val="800"/>
        </w:trPr>
        <w:tc>
          <w:tcPr>
            <w:tcW w:w="1858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Comunicação</w:t>
            </w:r>
          </w:p>
        </w:tc>
        <w:tc>
          <w:tcPr>
            <w:tcW w:w="4820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Troca de mensagens entre objetos. Exemplo: Um indivído pergunta o nome a outro indivíduo.</w:t>
            </w:r>
          </w:p>
        </w:tc>
        <w:tc>
          <w:tcPr>
            <w:tcW w:w="2976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 xml:space="preserve"> Mensagem</w:t>
            </w:r>
          </w:p>
        </w:tc>
      </w:tr>
      <w:tr w:rsidR="00D36336" w:rsidRPr="00902FDE" w:rsidTr="00226C8D">
        <w:trPr>
          <w:trHeight w:val="2800"/>
        </w:trPr>
        <w:tc>
          <w:tcPr>
            <w:tcW w:w="1858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Consciência</w:t>
            </w:r>
          </w:p>
        </w:tc>
        <w:tc>
          <w:tcPr>
            <w:tcW w:w="4820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A Constatação da existência de coisas baseada na consciência, indução intelectual e nas características observáveis peos sentimentos humanos de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</w:t>
            </w: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elementos da natureza, suas propriedades e comportamento. Exemplo: uma árvore, um animal, um automóvel, uma fórmula matemática, um ruído, um odor.</w:t>
            </w:r>
          </w:p>
        </w:tc>
        <w:tc>
          <w:tcPr>
            <w:tcW w:w="2976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Objetos, suas propriedades (atributos) e comportamento (operações) inerentes.</w:t>
            </w:r>
          </w:p>
        </w:tc>
      </w:tr>
      <w:tr w:rsidR="00D36336" w:rsidRPr="00902FDE" w:rsidTr="00226C8D">
        <w:trPr>
          <w:trHeight w:val="1500"/>
        </w:trPr>
        <w:tc>
          <w:tcPr>
            <w:tcW w:w="1858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Relacionamento</w:t>
            </w:r>
          </w:p>
        </w:tc>
        <w:tc>
          <w:tcPr>
            <w:tcW w:w="4820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Observação de correlações entre coisas fisicas e lógicas. Exemplo: um dindivíduo tem vários documentos.</w:t>
            </w:r>
          </w:p>
        </w:tc>
        <w:tc>
          <w:tcPr>
            <w:tcW w:w="2976" w:type="dxa"/>
          </w:tcPr>
          <w:p w:rsidR="00D36336" w:rsidRPr="00226C8D" w:rsidRDefault="00D36336" w:rsidP="00226C8D">
            <w:pPr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226C8D">
              <w:rPr>
                <w:rFonts w:ascii="Comic Sans MS" w:hAnsi="Comic Sans MS"/>
                <w:color w:val="000000"/>
                <w:sz w:val="22"/>
                <w:szCs w:val="22"/>
              </w:rPr>
              <w:t>Associação e papel da associação.</w:t>
            </w:r>
          </w:p>
        </w:tc>
      </w:tr>
    </w:tbl>
    <w:p w:rsidR="00D36336" w:rsidRDefault="00D36336"/>
    <w:sectPr w:rsidR="00D36336" w:rsidSect="00226C8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hyphenationZone w:val="425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6C8D"/>
    <w:rsid w:val="001E641C"/>
    <w:rsid w:val="00226C8D"/>
    <w:rsid w:val="004250CD"/>
    <w:rsid w:val="00902FDE"/>
    <w:rsid w:val="00D265E6"/>
    <w:rsid w:val="00D36336"/>
    <w:rsid w:val="00E7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E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54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</TotalTime>
  <Pages>1</Pages>
  <Words>167</Words>
  <Characters>904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</dc:creator>
  <cp:keywords/>
  <dc:description/>
  <cp:lastModifiedBy>PUCSP</cp:lastModifiedBy>
  <cp:revision>2</cp:revision>
  <dcterms:created xsi:type="dcterms:W3CDTF">2011-06-12T19:59:00Z</dcterms:created>
  <dcterms:modified xsi:type="dcterms:W3CDTF">2011-06-13T13:44:00Z</dcterms:modified>
</cp:coreProperties>
</file>