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805D" w14:textId="095F65ED" w:rsidR="00672CEB" w:rsidRPr="00672CEB" w:rsidRDefault="006C2E48" w:rsidP="00672CEB">
      <w:pPr>
        <w:rPr>
          <w:b/>
          <w:bCs/>
          <w:sz w:val="28"/>
          <w:szCs w:val="28"/>
          <w:lang w:val="de-CH"/>
        </w:rPr>
      </w:pPr>
      <w:r>
        <w:rPr>
          <w:b/>
          <w:bCs/>
          <w:sz w:val="28"/>
          <w:szCs w:val="28"/>
          <w:lang w:val="de-CH"/>
        </w:rPr>
        <w:t>Interessenbekundung</w:t>
      </w:r>
      <w:r w:rsidR="00672CEB" w:rsidRPr="00672CEB">
        <w:rPr>
          <w:b/>
          <w:bCs/>
          <w:sz w:val="28"/>
          <w:szCs w:val="28"/>
          <w:lang w:val="de-CH"/>
        </w:rPr>
        <w:t xml:space="preserve"> für die Kulturnacht Küsnacht 2025,</w:t>
      </w:r>
    </w:p>
    <w:p w14:paraId="775263A4" w14:textId="137CFE48" w:rsidR="00672CEB" w:rsidRPr="00672CEB" w:rsidRDefault="00672CEB" w:rsidP="00672CEB">
      <w:pPr>
        <w:rPr>
          <w:b/>
          <w:bCs/>
          <w:sz w:val="28"/>
          <w:szCs w:val="28"/>
          <w:lang w:val="de-CH"/>
        </w:rPr>
      </w:pPr>
      <w:r w:rsidRPr="00672CEB">
        <w:rPr>
          <w:b/>
          <w:bCs/>
          <w:sz w:val="28"/>
          <w:szCs w:val="28"/>
          <w:lang w:val="de-CH"/>
        </w:rPr>
        <w:t>Einstieg</w:t>
      </w:r>
      <w:r w:rsidR="00034E1F">
        <w:rPr>
          <w:b/>
          <w:bCs/>
          <w:sz w:val="28"/>
          <w:szCs w:val="28"/>
          <w:lang w:val="de-CH"/>
        </w:rPr>
        <w:t>s</w:t>
      </w:r>
      <w:r w:rsidRPr="00672CEB">
        <w:rPr>
          <w:b/>
          <w:bCs/>
          <w:sz w:val="28"/>
          <w:szCs w:val="28"/>
          <w:lang w:val="de-CH"/>
        </w:rPr>
        <w:t>hilfe für Kulturschaffende</w:t>
      </w:r>
    </w:p>
    <w:p w14:paraId="67D215C9" w14:textId="77777777" w:rsidR="00672CEB" w:rsidRDefault="00672CEB" w:rsidP="00672CEB">
      <w:pPr>
        <w:rPr>
          <w:lang w:val="de-CH"/>
        </w:rPr>
      </w:pPr>
    </w:p>
    <w:p w14:paraId="2DBFC8F7" w14:textId="71FDC4A8" w:rsidR="006C2E48" w:rsidRPr="005225A6" w:rsidRDefault="006C2E48" w:rsidP="006C2E48">
      <w:pPr>
        <w:rPr>
          <w:lang w:val="de-CH"/>
        </w:rPr>
      </w:pPr>
      <w:r>
        <w:rPr>
          <w:lang w:val="de-CH"/>
        </w:rPr>
        <w:t xml:space="preserve">Die Kulturnacht Küsnacht </w:t>
      </w:r>
      <w:r w:rsidRPr="005225A6">
        <w:rPr>
          <w:lang w:val="de-CH"/>
        </w:rPr>
        <w:t xml:space="preserve">findet </w:t>
      </w:r>
      <w:r>
        <w:rPr>
          <w:lang w:val="de-CH"/>
        </w:rPr>
        <w:t xml:space="preserve">nächstes Jahr nach 2017 und 2021 </w:t>
      </w:r>
      <w:r w:rsidRPr="005225A6">
        <w:rPr>
          <w:lang w:val="de-CH"/>
        </w:rPr>
        <w:t>bereits zum dritten Mal</w:t>
      </w:r>
      <w:r>
        <w:rPr>
          <w:lang w:val="de-CH"/>
        </w:rPr>
        <w:t xml:space="preserve"> </w:t>
      </w:r>
      <w:r w:rsidRPr="005225A6">
        <w:rPr>
          <w:lang w:val="de-CH"/>
        </w:rPr>
        <w:t xml:space="preserve">statt und bietet vor allem </w:t>
      </w:r>
      <w:proofErr w:type="spellStart"/>
      <w:r w:rsidRPr="005225A6">
        <w:rPr>
          <w:lang w:val="de-CH"/>
        </w:rPr>
        <w:t>Küsnachter</w:t>
      </w:r>
      <w:proofErr w:type="spellEnd"/>
      <w:r w:rsidRPr="005225A6">
        <w:rPr>
          <w:lang w:val="de-CH"/>
        </w:rPr>
        <w:t xml:space="preserve"> Kulturschaffenden eine Plattform, sich einem breiten Publikum zu präsentieren. Am Freitag, 5. September 2025, von </w:t>
      </w:r>
      <w:r w:rsidRPr="00E92C66">
        <w:rPr>
          <w:lang w:val="de-CH"/>
        </w:rPr>
        <w:t xml:space="preserve">17 bis 24 Uhr, </w:t>
      </w:r>
      <w:r w:rsidRPr="005225A6">
        <w:rPr>
          <w:lang w:val="de-CH"/>
        </w:rPr>
        <w:t xml:space="preserve">werden die Besucherinnen und Besucher an verschiedenen Orten für jeweils 30 Minuten verzaubert. Die Form der </w:t>
      </w:r>
      <w:r>
        <w:rPr>
          <w:lang w:val="de-CH"/>
        </w:rPr>
        <w:t>Mitwirkung</w:t>
      </w:r>
      <w:r w:rsidRPr="005225A6">
        <w:rPr>
          <w:lang w:val="de-CH"/>
        </w:rPr>
        <w:t xml:space="preserve"> ist weitgehend frei, muss aber </w:t>
      </w:r>
      <w:r>
        <w:rPr>
          <w:lang w:val="de-CH"/>
        </w:rPr>
        <w:t>e</w:t>
      </w:r>
      <w:r w:rsidRPr="005225A6">
        <w:rPr>
          <w:lang w:val="de-CH"/>
        </w:rPr>
        <w:t xml:space="preserve">inen kulturellen Schwerpunkt </w:t>
      </w:r>
      <w:r>
        <w:rPr>
          <w:lang w:val="de-CH"/>
        </w:rPr>
        <w:t>haben.</w:t>
      </w:r>
      <w:r w:rsidRPr="005225A6">
        <w:rPr>
          <w:lang w:val="de-CH"/>
        </w:rPr>
        <w:t xml:space="preserve"> </w:t>
      </w:r>
    </w:p>
    <w:p w14:paraId="318D6DBE" w14:textId="77777777" w:rsidR="006C2E48" w:rsidRPr="005225A6" w:rsidRDefault="006C2E48" w:rsidP="006C2E48">
      <w:pPr>
        <w:rPr>
          <w:lang w:val="de-CH"/>
        </w:rPr>
      </w:pPr>
    </w:p>
    <w:p w14:paraId="19B7ECD7" w14:textId="0335C4B4" w:rsidR="006C2E48" w:rsidRPr="00811D2C" w:rsidRDefault="006C2E48" w:rsidP="006C2E48">
      <w:pPr>
        <w:rPr>
          <w:highlight w:val="yellow"/>
          <w:lang w:val="de-CH"/>
        </w:rPr>
      </w:pPr>
      <w:r w:rsidRPr="005225A6">
        <w:rPr>
          <w:lang w:val="de-CH"/>
        </w:rPr>
        <w:t xml:space="preserve">Es gilt nun, Lokalitäten, Aussenspielorte, einzelne Veranstaltungspartner und Kulturschaffende </w:t>
      </w:r>
      <w:r>
        <w:rPr>
          <w:lang w:val="de-CH"/>
        </w:rPr>
        <w:t>so miteinander zu vernetzen,</w:t>
      </w:r>
      <w:r w:rsidRPr="005225A6">
        <w:rPr>
          <w:lang w:val="de-CH"/>
        </w:rPr>
        <w:t xml:space="preserve"> dass möglichst viele Kultursparten im Programm</w:t>
      </w:r>
      <w:r>
        <w:rPr>
          <w:lang w:val="de-CH"/>
        </w:rPr>
        <w:t xml:space="preserve"> vertreten sind. </w:t>
      </w:r>
      <w:r w:rsidRPr="00BF5DCE">
        <w:rPr>
          <w:lang w:val="de-CH"/>
        </w:rPr>
        <w:t xml:space="preserve">Das </w:t>
      </w:r>
      <w:proofErr w:type="gramStart"/>
      <w:r w:rsidRPr="00BF5DCE">
        <w:rPr>
          <w:lang w:val="de-CH"/>
        </w:rPr>
        <w:t>OK Kulturnacht</w:t>
      </w:r>
      <w:proofErr w:type="gramEnd"/>
      <w:r w:rsidRPr="00BF5DCE">
        <w:rPr>
          <w:lang w:val="de-CH"/>
        </w:rPr>
        <w:t xml:space="preserve"> unterstützt Sie dabei gerne</w:t>
      </w:r>
      <w:r w:rsidR="00811D2C" w:rsidRPr="00BF5DCE">
        <w:rPr>
          <w:lang w:val="de-CH"/>
        </w:rPr>
        <w:t xml:space="preserve">. </w:t>
      </w:r>
      <w:r w:rsidR="00BF5DCE">
        <w:rPr>
          <w:lang w:val="de-CH"/>
        </w:rPr>
        <w:t xml:space="preserve">Unsere Dienste beschränken sich </w:t>
      </w:r>
      <w:r w:rsidR="00D30019">
        <w:rPr>
          <w:lang w:val="de-CH"/>
        </w:rPr>
        <w:t xml:space="preserve">aber </w:t>
      </w:r>
      <w:r w:rsidR="00BF5DCE">
        <w:rPr>
          <w:lang w:val="de-CH"/>
        </w:rPr>
        <w:t>auf die Vernetzung</w:t>
      </w:r>
      <w:r w:rsidR="00E92C66" w:rsidRPr="00E92C66">
        <w:rPr>
          <w:lang w:val="de-CH"/>
        </w:rPr>
        <w:t>,</w:t>
      </w:r>
      <w:r w:rsidR="00BF5DCE" w:rsidRPr="00E92C66">
        <w:rPr>
          <w:lang w:val="de-CH"/>
        </w:rPr>
        <w:t xml:space="preserve"> </w:t>
      </w:r>
      <w:r w:rsidR="00E92C66" w:rsidRPr="00E92C66">
        <w:rPr>
          <w:lang w:val="de-CH"/>
        </w:rPr>
        <w:t>w</w:t>
      </w:r>
      <w:r w:rsidR="00811D2C" w:rsidRPr="00E92C66">
        <w:rPr>
          <w:lang w:val="de-CH"/>
        </w:rPr>
        <w:t xml:space="preserve">ir können </w:t>
      </w:r>
      <w:r w:rsidR="00D30019">
        <w:rPr>
          <w:lang w:val="de-CH"/>
        </w:rPr>
        <w:t>I</w:t>
      </w:r>
      <w:r w:rsidR="00811D2C" w:rsidRPr="00E92C66">
        <w:rPr>
          <w:lang w:val="de-CH"/>
        </w:rPr>
        <w:t xml:space="preserve">hnen </w:t>
      </w:r>
      <w:r w:rsidR="00E92C66">
        <w:rPr>
          <w:lang w:val="de-CH"/>
        </w:rPr>
        <w:t>daher k</w:t>
      </w:r>
      <w:r w:rsidR="00E92C66" w:rsidRPr="00E92C66">
        <w:rPr>
          <w:lang w:val="de-CH"/>
        </w:rPr>
        <w:t>eine</w:t>
      </w:r>
      <w:r w:rsidRPr="00E92C66">
        <w:rPr>
          <w:lang w:val="de-CH"/>
        </w:rPr>
        <w:t xml:space="preserve"> </w:t>
      </w:r>
      <w:r w:rsidR="00E92C66" w:rsidRPr="00E92C66">
        <w:rPr>
          <w:lang w:val="de-CH"/>
        </w:rPr>
        <w:t>Auftrittsgarantie</w:t>
      </w:r>
      <w:r w:rsidR="00E92C66">
        <w:rPr>
          <w:lang w:val="de-CH"/>
        </w:rPr>
        <w:t xml:space="preserve"> abgeben. Das gleiche gilt für den </w:t>
      </w:r>
      <w:r w:rsidR="00D30019">
        <w:rPr>
          <w:lang w:val="de-CH"/>
        </w:rPr>
        <w:t>Auftritts</w:t>
      </w:r>
      <w:r w:rsidR="00811D2C" w:rsidRPr="00E92C66">
        <w:rPr>
          <w:lang w:val="de-CH"/>
        </w:rPr>
        <w:t>ort</w:t>
      </w:r>
      <w:r w:rsidR="00E92C66" w:rsidRPr="00E92C66">
        <w:rPr>
          <w:lang w:val="de-CH"/>
        </w:rPr>
        <w:t xml:space="preserve">. </w:t>
      </w:r>
    </w:p>
    <w:p w14:paraId="4005AD47" w14:textId="77777777" w:rsidR="006C2E48" w:rsidRPr="00E92C66" w:rsidRDefault="006C2E48" w:rsidP="006C2E48">
      <w:pPr>
        <w:rPr>
          <w:lang w:val="de-CH"/>
        </w:rPr>
      </w:pPr>
    </w:p>
    <w:p w14:paraId="34D546F9" w14:textId="13830C23" w:rsidR="006C2E48" w:rsidRPr="00E92C66" w:rsidRDefault="006C2E48" w:rsidP="006C2E48">
      <w:pPr>
        <w:rPr>
          <w:lang w:val="de-CH"/>
        </w:rPr>
      </w:pPr>
      <w:r w:rsidRPr="00E92C66">
        <w:rPr>
          <w:lang w:val="de-CH"/>
        </w:rPr>
        <w:t xml:space="preserve">Von </w:t>
      </w:r>
      <w:r w:rsidR="00811D2C" w:rsidRPr="00E92C66">
        <w:rPr>
          <w:lang w:val="de-CH"/>
        </w:rPr>
        <w:t>allen</w:t>
      </w:r>
      <w:r w:rsidRPr="00E92C66">
        <w:rPr>
          <w:lang w:val="de-CH"/>
        </w:rPr>
        <w:t xml:space="preserve"> </w:t>
      </w:r>
      <w:r w:rsidR="00782C1E">
        <w:rPr>
          <w:lang w:val="de-CH"/>
        </w:rPr>
        <w:t>i</w:t>
      </w:r>
      <w:r w:rsidRPr="00E92C66">
        <w:rPr>
          <w:lang w:val="de-CH"/>
        </w:rPr>
        <w:t>nteressierte</w:t>
      </w:r>
      <w:r w:rsidR="00811D2C" w:rsidRPr="00E92C66">
        <w:rPr>
          <w:lang w:val="de-CH"/>
        </w:rPr>
        <w:t>n</w:t>
      </w:r>
      <w:r w:rsidRPr="00E92C66">
        <w:rPr>
          <w:lang w:val="de-CH"/>
        </w:rPr>
        <w:t xml:space="preserve"> </w:t>
      </w:r>
      <w:r w:rsidR="00D30019">
        <w:rPr>
          <w:lang w:val="de-CH"/>
        </w:rPr>
        <w:t xml:space="preserve">Kulturschaffenden </w:t>
      </w:r>
      <w:r w:rsidR="00811D2C" w:rsidRPr="00E92C66">
        <w:rPr>
          <w:lang w:val="de-CH"/>
        </w:rPr>
        <w:t>brauchen</w:t>
      </w:r>
      <w:r w:rsidRPr="00E92C66">
        <w:rPr>
          <w:lang w:val="de-CH"/>
        </w:rPr>
        <w:t xml:space="preserve"> wir </w:t>
      </w:r>
      <w:r w:rsidR="0085247A" w:rsidRPr="00E92C66">
        <w:rPr>
          <w:lang w:val="de-CH"/>
        </w:rPr>
        <w:t>die untenstehenden Informationen</w:t>
      </w:r>
      <w:r w:rsidR="0085247A" w:rsidRPr="00E92C66">
        <w:rPr>
          <w:lang w:val="de-CH"/>
        </w:rPr>
        <w:t xml:space="preserve"> </w:t>
      </w:r>
      <w:r w:rsidRPr="00E92C66">
        <w:rPr>
          <w:lang w:val="de-CH"/>
        </w:rPr>
        <w:t>bis spätestens 30. September 2024</w:t>
      </w:r>
      <w:r w:rsidR="00811D2C" w:rsidRPr="00E92C66">
        <w:rPr>
          <w:lang w:val="de-CH"/>
        </w:rPr>
        <w:t xml:space="preserve">. Wer sich bereits schriftlich gemeldet hat, braucht dies nicht zu wiederholen. </w:t>
      </w:r>
      <w:r w:rsidR="00782C1E">
        <w:rPr>
          <w:lang w:val="de-CH"/>
        </w:rPr>
        <w:t>Bis Ende Oktober 2024 werden Sie von uns hören.</w:t>
      </w:r>
    </w:p>
    <w:p w14:paraId="7510918D" w14:textId="77777777" w:rsidR="006C2E48" w:rsidRPr="00E92C66" w:rsidRDefault="006C2E48" w:rsidP="006C2E48">
      <w:pPr>
        <w:rPr>
          <w:lang w:val="de-CH"/>
        </w:rPr>
      </w:pPr>
    </w:p>
    <w:p w14:paraId="4E9F2AB6" w14:textId="77777777" w:rsidR="00D30019" w:rsidRDefault="006C2E48" w:rsidP="006C2E48">
      <w:pPr>
        <w:rPr>
          <w:lang w:val="de-CH"/>
        </w:rPr>
      </w:pPr>
      <w:r w:rsidRPr="00E92C66">
        <w:rPr>
          <w:lang w:val="de-CH"/>
        </w:rPr>
        <w:t xml:space="preserve">Bei </w:t>
      </w:r>
      <w:r w:rsidR="00BF5DCE" w:rsidRPr="00E92C66">
        <w:rPr>
          <w:lang w:val="de-CH"/>
        </w:rPr>
        <w:t xml:space="preserve">Unklarheiten oder </w:t>
      </w:r>
      <w:r w:rsidRPr="00E92C66">
        <w:rPr>
          <w:lang w:val="de-CH"/>
        </w:rPr>
        <w:t>Fragen stehen Ihnen die Mitglieder des OK zur Verfügung.</w:t>
      </w:r>
      <w:r w:rsidR="00E92C66">
        <w:rPr>
          <w:lang w:val="de-CH"/>
        </w:rPr>
        <w:t xml:space="preserve"> </w:t>
      </w:r>
    </w:p>
    <w:p w14:paraId="17ACB8EC" w14:textId="0B797C38" w:rsidR="006C2E48" w:rsidRPr="00672CEB" w:rsidRDefault="00E92C66" w:rsidP="006C2E48">
      <w:pPr>
        <w:rPr>
          <w:lang w:val="de-CH"/>
        </w:rPr>
      </w:pPr>
      <w:r>
        <w:rPr>
          <w:lang w:val="de-CH"/>
        </w:rPr>
        <w:t>Vielen Dank.</w:t>
      </w:r>
    </w:p>
    <w:p w14:paraId="24F5E48F" w14:textId="77777777" w:rsidR="00F03857" w:rsidRDefault="00F03857" w:rsidP="00672CEB">
      <w:pPr>
        <w:rPr>
          <w:lang w:val="de-CH"/>
        </w:rPr>
      </w:pPr>
    </w:p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2358"/>
        <w:gridCol w:w="572"/>
        <w:gridCol w:w="6232"/>
      </w:tblGrid>
      <w:tr w:rsidR="00335080" w14:paraId="2F5D66CF" w14:textId="77777777" w:rsidTr="00335080">
        <w:tc>
          <w:tcPr>
            <w:tcW w:w="2358" w:type="dxa"/>
          </w:tcPr>
          <w:p w14:paraId="16660BC4" w14:textId="3EB525B5" w:rsidR="00CF3A18" w:rsidRPr="00CF3A18" w:rsidRDefault="00CF3A18" w:rsidP="00CF3A18">
            <w:pPr>
              <w:spacing w:before="120" w:after="120"/>
              <w:rPr>
                <w:sz w:val="20"/>
                <w:szCs w:val="20"/>
                <w:lang w:val="de-CH"/>
              </w:rPr>
            </w:pPr>
            <w:r w:rsidRPr="00CF3A18">
              <w:rPr>
                <w:sz w:val="20"/>
                <w:szCs w:val="20"/>
                <w:lang w:val="de-CH"/>
              </w:rPr>
              <w:t>Vorname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 w14:paraId="63DE1593" w14:textId="77777777" w:rsidR="00CF3A18" w:rsidRDefault="00CF3A18" w:rsidP="00672CEB">
            <w:pPr>
              <w:rPr>
                <w:lang w:val="de-CH"/>
              </w:rPr>
            </w:pPr>
          </w:p>
        </w:tc>
        <w:tc>
          <w:tcPr>
            <w:tcW w:w="6232" w:type="dxa"/>
          </w:tcPr>
          <w:p w14:paraId="59EE8B28" w14:textId="77777777" w:rsidR="00CF3A18" w:rsidRDefault="00CF3A18" w:rsidP="00672CEB">
            <w:pPr>
              <w:rPr>
                <w:lang w:val="de-CH"/>
              </w:rPr>
            </w:pPr>
          </w:p>
        </w:tc>
      </w:tr>
      <w:tr w:rsidR="00335080" w14:paraId="327D2A45" w14:textId="77777777" w:rsidTr="00335080">
        <w:tc>
          <w:tcPr>
            <w:tcW w:w="2358" w:type="dxa"/>
          </w:tcPr>
          <w:p w14:paraId="2D3DCE8B" w14:textId="221F5119" w:rsidR="00CF3A18" w:rsidRPr="00CF3A18" w:rsidRDefault="00CF3A18" w:rsidP="00CF3A18">
            <w:pPr>
              <w:spacing w:before="120" w:after="120"/>
              <w:rPr>
                <w:sz w:val="20"/>
                <w:szCs w:val="20"/>
                <w:lang w:val="de-CH"/>
              </w:rPr>
            </w:pPr>
            <w:r w:rsidRPr="00CF3A18">
              <w:rPr>
                <w:sz w:val="20"/>
                <w:szCs w:val="20"/>
                <w:lang w:val="de-CH"/>
              </w:rPr>
              <w:t>Name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 w14:paraId="37297EF1" w14:textId="77777777" w:rsidR="00CF3A18" w:rsidRDefault="00CF3A18" w:rsidP="00672CEB">
            <w:pPr>
              <w:rPr>
                <w:lang w:val="de-CH"/>
              </w:rPr>
            </w:pPr>
          </w:p>
        </w:tc>
        <w:tc>
          <w:tcPr>
            <w:tcW w:w="6232" w:type="dxa"/>
          </w:tcPr>
          <w:p w14:paraId="4DF7B23A" w14:textId="77777777" w:rsidR="00CF3A18" w:rsidRDefault="00CF3A18" w:rsidP="00672CEB">
            <w:pPr>
              <w:rPr>
                <w:lang w:val="de-CH"/>
              </w:rPr>
            </w:pPr>
          </w:p>
        </w:tc>
      </w:tr>
      <w:tr w:rsidR="00CF3A18" w14:paraId="4EA8708A" w14:textId="77777777" w:rsidTr="00335080">
        <w:tc>
          <w:tcPr>
            <w:tcW w:w="2358" w:type="dxa"/>
          </w:tcPr>
          <w:p w14:paraId="3BED097A" w14:textId="3FB3DB36" w:rsidR="00CF3A18" w:rsidRPr="00CF3A18" w:rsidRDefault="00CF3A18" w:rsidP="00CF3A18">
            <w:pPr>
              <w:spacing w:before="120" w:after="120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Strasse, Nr.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 w14:paraId="0F9155B4" w14:textId="77777777" w:rsidR="00CF3A18" w:rsidRDefault="00CF3A18" w:rsidP="00672CEB">
            <w:pPr>
              <w:rPr>
                <w:lang w:val="de-CH"/>
              </w:rPr>
            </w:pPr>
          </w:p>
        </w:tc>
        <w:tc>
          <w:tcPr>
            <w:tcW w:w="6232" w:type="dxa"/>
          </w:tcPr>
          <w:p w14:paraId="55919FB3" w14:textId="77777777" w:rsidR="00CF3A18" w:rsidRDefault="00CF3A18" w:rsidP="00672CEB">
            <w:pPr>
              <w:rPr>
                <w:lang w:val="de-CH"/>
              </w:rPr>
            </w:pPr>
          </w:p>
        </w:tc>
      </w:tr>
      <w:tr w:rsidR="00335080" w14:paraId="753EC985" w14:textId="77777777" w:rsidTr="00335080">
        <w:tc>
          <w:tcPr>
            <w:tcW w:w="2358" w:type="dxa"/>
          </w:tcPr>
          <w:p w14:paraId="06CB72AF" w14:textId="16E5DCD7" w:rsidR="00CF3A18" w:rsidRPr="00CF3A18" w:rsidRDefault="00CF3A18" w:rsidP="00CF3A18">
            <w:pPr>
              <w:spacing w:before="120" w:after="120"/>
              <w:rPr>
                <w:sz w:val="20"/>
                <w:szCs w:val="20"/>
                <w:lang w:val="de-CH"/>
              </w:rPr>
            </w:pPr>
            <w:r w:rsidRPr="00CF3A18">
              <w:rPr>
                <w:sz w:val="20"/>
                <w:szCs w:val="20"/>
                <w:lang w:val="de-CH"/>
              </w:rPr>
              <w:t>PLZ, Ort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 w14:paraId="45FB6057" w14:textId="77777777" w:rsidR="00CF3A18" w:rsidRDefault="00CF3A18" w:rsidP="00672CEB">
            <w:pPr>
              <w:rPr>
                <w:lang w:val="de-CH"/>
              </w:rPr>
            </w:pPr>
          </w:p>
        </w:tc>
        <w:tc>
          <w:tcPr>
            <w:tcW w:w="6232" w:type="dxa"/>
          </w:tcPr>
          <w:p w14:paraId="57ABCF5B" w14:textId="77777777" w:rsidR="00CF3A18" w:rsidRDefault="00CF3A18" w:rsidP="00672CEB">
            <w:pPr>
              <w:rPr>
                <w:lang w:val="de-CH"/>
              </w:rPr>
            </w:pPr>
          </w:p>
        </w:tc>
      </w:tr>
      <w:tr w:rsidR="00335080" w14:paraId="6BE72BAA" w14:textId="77777777" w:rsidTr="00335080">
        <w:tc>
          <w:tcPr>
            <w:tcW w:w="2358" w:type="dxa"/>
          </w:tcPr>
          <w:p w14:paraId="04C5F000" w14:textId="4CD1D058" w:rsidR="00CF3A18" w:rsidRPr="00CF3A18" w:rsidRDefault="00CF3A18" w:rsidP="00CF3A18">
            <w:pPr>
              <w:spacing w:before="120" w:after="120"/>
              <w:rPr>
                <w:sz w:val="20"/>
                <w:szCs w:val="20"/>
                <w:lang w:val="de-CH"/>
              </w:rPr>
            </w:pPr>
            <w:r w:rsidRPr="00CF3A18">
              <w:rPr>
                <w:sz w:val="20"/>
                <w:szCs w:val="20"/>
                <w:lang w:val="de-CH"/>
              </w:rPr>
              <w:t>E</w:t>
            </w:r>
            <w:r w:rsidR="00EA0A0F">
              <w:rPr>
                <w:sz w:val="20"/>
                <w:szCs w:val="20"/>
                <w:lang w:val="de-CH"/>
              </w:rPr>
              <w:t>-</w:t>
            </w:r>
            <w:r w:rsidRPr="00CF3A18">
              <w:rPr>
                <w:sz w:val="20"/>
                <w:szCs w:val="20"/>
                <w:lang w:val="de-CH"/>
              </w:rPr>
              <w:t>Mail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 w14:paraId="3894ED11" w14:textId="77777777" w:rsidR="00CF3A18" w:rsidRDefault="00CF3A18" w:rsidP="00672CEB">
            <w:pPr>
              <w:rPr>
                <w:lang w:val="de-CH"/>
              </w:rPr>
            </w:pPr>
          </w:p>
        </w:tc>
        <w:tc>
          <w:tcPr>
            <w:tcW w:w="6232" w:type="dxa"/>
          </w:tcPr>
          <w:p w14:paraId="44578070" w14:textId="77777777" w:rsidR="00CF3A18" w:rsidRDefault="00CF3A18" w:rsidP="00672CEB">
            <w:pPr>
              <w:rPr>
                <w:lang w:val="de-CH"/>
              </w:rPr>
            </w:pPr>
          </w:p>
        </w:tc>
      </w:tr>
      <w:tr w:rsidR="00335080" w14:paraId="1BF272EF" w14:textId="77777777" w:rsidTr="00335080">
        <w:tc>
          <w:tcPr>
            <w:tcW w:w="2358" w:type="dxa"/>
          </w:tcPr>
          <w:p w14:paraId="1E8316F0" w14:textId="1E21351B" w:rsidR="00CF3A18" w:rsidRPr="00CF3A18" w:rsidRDefault="00CF3A18" w:rsidP="00CF3A18">
            <w:pPr>
              <w:spacing w:before="120" w:after="120"/>
              <w:rPr>
                <w:sz w:val="20"/>
                <w:szCs w:val="20"/>
                <w:lang w:val="de-CH"/>
              </w:rPr>
            </w:pPr>
            <w:r w:rsidRPr="00CF3A18">
              <w:rPr>
                <w:sz w:val="20"/>
                <w:szCs w:val="20"/>
                <w:lang w:val="de-CH"/>
              </w:rPr>
              <w:t>Kultursparte</w:t>
            </w:r>
            <w:r w:rsidR="00BF5DCE">
              <w:rPr>
                <w:sz w:val="20"/>
                <w:szCs w:val="20"/>
                <w:lang w:val="de-CH"/>
              </w:rPr>
              <w:t>/Hinweise zum Programm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 w14:paraId="2613CA88" w14:textId="77777777" w:rsidR="00CF3A18" w:rsidRDefault="00CF3A18" w:rsidP="00672CEB">
            <w:pPr>
              <w:rPr>
                <w:lang w:val="de-CH"/>
              </w:rPr>
            </w:pPr>
          </w:p>
        </w:tc>
        <w:tc>
          <w:tcPr>
            <w:tcW w:w="6232" w:type="dxa"/>
          </w:tcPr>
          <w:p w14:paraId="604D98F9" w14:textId="77777777" w:rsidR="00CF3A18" w:rsidRDefault="00CF3A18" w:rsidP="00672CEB">
            <w:pPr>
              <w:rPr>
                <w:lang w:val="de-CH"/>
              </w:rPr>
            </w:pPr>
          </w:p>
        </w:tc>
      </w:tr>
      <w:tr w:rsidR="00335080" w14:paraId="45BDE6A9" w14:textId="77777777" w:rsidTr="00335080">
        <w:tc>
          <w:tcPr>
            <w:tcW w:w="2358" w:type="dxa"/>
          </w:tcPr>
          <w:p w14:paraId="3F2FF292" w14:textId="29CCF0E5" w:rsidR="00CF3A18" w:rsidRPr="00CF3A18" w:rsidRDefault="00CF3A18" w:rsidP="00CF3A18">
            <w:pPr>
              <w:spacing w:before="120" w:after="120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 xml:space="preserve">Anzahl Beteiligte 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 w14:paraId="2D79AA46" w14:textId="77777777" w:rsidR="00CF3A18" w:rsidRDefault="00CF3A18" w:rsidP="00672CEB">
            <w:pPr>
              <w:rPr>
                <w:lang w:val="de-CH"/>
              </w:rPr>
            </w:pPr>
          </w:p>
        </w:tc>
        <w:tc>
          <w:tcPr>
            <w:tcW w:w="6232" w:type="dxa"/>
          </w:tcPr>
          <w:p w14:paraId="2F86141A" w14:textId="77777777" w:rsidR="00CF3A18" w:rsidRDefault="00CF3A18" w:rsidP="00672CEB">
            <w:pPr>
              <w:rPr>
                <w:lang w:val="de-CH"/>
              </w:rPr>
            </w:pPr>
          </w:p>
        </w:tc>
      </w:tr>
      <w:tr w:rsidR="00335080" w14:paraId="760E2795" w14:textId="77777777" w:rsidTr="00335080">
        <w:tc>
          <w:tcPr>
            <w:tcW w:w="2358" w:type="dxa"/>
            <w:tcBorders>
              <w:bottom w:val="single" w:sz="4" w:space="0" w:color="auto"/>
            </w:tcBorders>
          </w:tcPr>
          <w:p w14:paraId="418CF5A6" w14:textId="3D9A1F7F" w:rsidR="00CF3A18" w:rsidRPr="00CF3A18" w:rsidRDefault="00335080" w:rsidP="00FC1BA8">
            <w:pPr>
              <w:spacing w:before="120" w:after="120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Wunsch für Auftrittsort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 w14:paraId="57B8A830" w14:textId="77777777" w:rsidR="00CF3A18" w:rsidRDefault="00CF3A18" w:rsidP="00FC1BA8">
            <w:pPr>
              <w:rPr>
                <w:lang w:val="de-CH"/>
              </w:rPr>
            </w:pPr>
          </w:p>
        </w:tc>
        <w:tc>
          <w:tcPr>
            <w:tcW w:w="6232" w:type="dxa"/>
            <w:tcBorders>
              <w:bottom w:val="single" w:sz="4" w:space="0" w:color="auto"/>
            </w:tcBorders>
          </w:tcPr>
          <w:p w14:paraId="62190CD5" w14:textId="77777777" w:rsidR="00CF3A18" w:rsidRDefault="00CF3A18" w:rsidP="00FC1BA8">
            <w:pPr>
              <w:rPr>
                <w:lang w:val="de-CH"/>
              </w:rPr>
            </w:pPr>
          </w:p>
        </w:tc>
      </w:tr>
      <w:tr w:rsidR="00335080" w14:paraId="55E8E1D2" w14:textId="77777777" w:rsidTr="00335080">
        <w:tc>
          <w:tcPr>
            <w:tcW w:w="2358" w:type="dxa"/>
            <w:tcBorders>
              <w:bottom w:val="nil"/>
            </w:tcBorders>
          </w:tcPr>
          <w:p w14:paraId="18118807" w14:textId="28FE39FE" w:rsidR="00CF3A18" w:rsidRPr="00CF3A18" w:rsidRDefault="00335080" w:rsidP="00FC1BA8">
            <w:pPr>
              <w:spacing w:before="120" w:after="120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Bemerkung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 w14:paraId="739C229F" w14:textId="77777777" w:rsidR="00CF3A18" w:rsidRDefault="00CF3A18" w:rsidP="00FC1BA8">
            <w:pPr>
              <w:rPr>
                <w:lang w:val="de-CH"/>
              </w:rPr>
            </w:pPr>
          </w:p>
        </w:tc>
        <w:tc>
          <w:tcPr>
            <w:tcW w:w="6232" w:type="dxa"/>
            <w:tcBorders>
              <w:bottom w:val="nil"/>
            </w:tcBorders>
          </w:tcPr>
          <w:p w14:paraId="47E922CD" w14:textId="77777777" w:rsidR="00CF3A18" w:rsidRDefault="00CF3A18" w:rsidP="00FC1BA8">
            <w:pPr>
              <w:rPr>
                <w:lang w:val="de-CH"/>
              </w:rPr>
            </w:pPr>
          </w:p>
        </w:tc>
      </w:tr>
      <w:tr w:rsidR="00335080" w14:paraId="009D5E64" w14:textId="77777777" w:rsidTr="00335080">
        <w:tc>
          <w:tcPr>
            <w:tcW w:w="2358" w:type="dxa"/>
            <w:tcBorders>
              <w:top w:val="nil"/>
            </w:tcBorders>
          </w:tcPr>
          <w:p w14:paraId="3CA783DE" w14:textId="77777777" w:rsidR="00335080" w:rsidRDefault="00335080" w:rsidP="00FC1BA8">
            <w:pPr>
              <w:spacing w:before="120" w:after="120"/>
              <w:rPr>
                <w:sz w:val="20"/>
                <w:szCs w:val="20"/>
                <w:lang w:val="de-CH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 w14:paraId="017AA41C" w14:textId="77777777" w:rsidR="00335080" w:rsidRDefault="00335080" w:rsidP="00FC1BA8">
            <w:pPr>
              <w:rPr>
                <w:lang w:val="de-CH"/>
              </w:rPr>
            </w:pPr>
          </w:p>
        </w:tc>
        <w:tc>
          <w:tcPr>
            <w:tcW w:w="6232" w:type="dxa"/>
            <w:tcBorders>
              <w:top w:val="nil"/>
            </w:tcBorders>
          </w:tcPr>
          <w:p w14:paraId="58F66C16" w14:textId="77777777" w:rsidR="00335080" w:rsidRDefault="00335080" w:rsidP="00FC1BA8">
            <w:pPr>
              <w:rPr>
                <w:lang w:val="de-CH"/>
              </w:rPr>
            </w:pPr>
          </w:p>
        </w:tc>
      </w:tr>
      <w:tr w:rsidR="00335080" w14:paraId="59BC58D4" w14:textId="77777777" w:rsidTr="00EA0A0F">
        <w:tc>
          <w:tcPr>
            <w:tcW w:w="2358" w:type="dxa"/>
            <w:tcBorders>
              <w:left w:val="nil"/>
              <w:bottom w:val="nil"/>
              <w:right w:val="nil"/>
            </w:tcBorders>
          </w:tcPr>
          <w:p w14:paraId="303ACB77" w14:textId="77777777" w:rsidR="00335080" w:rsidRDefault="00335080" w:rsidP="00FC1BA8">
            <w:pPr>
              <w:spacing w:before="120" w:after="120"/>
              <w:rPr>
                <w:sz w:val="20"/>
                <w:szCs w:val="20"/>
                <w:lang w:val="de-CH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A9C635B" w14:textId="77777777" w:rsidR="00335080" w:rsidRDefault="00335080" w:rsidP="00FC1BA8">
            <w:pPr>
              <w:rPr>
                <w:lang w:val="de-CH"/>
              </w:rPr>
            </w:pPr>
          </w:p>
        </w:tc>
        <w:tc>
          <w:tcPr>
            <w:tcW w:w="6232" w:type="dxa"/>
            <w:tcBorders>
              <w:left w:val="nil"/>
              <w:bottom w:val="single" w:sz="8" w:space="0" w:color="auto"/>
              <w:right w:val="nil"/>
            </w:tcBorders>
          </w:tcPr>
          <w:p w14:paraId="3C9C7835" w14:textId="77777777" w:rsidR="00335080" w:rsidRDefault="00335080" w:rsidP="00FC1BA8">
            <w:pPr>
              <w:rPr>
                <w:lang w:val="de-CH"/>
              </w:rPr>
            </w:pPr>
          </w:p>
        </w:tc>
      </w:tr>
      <w:tr w:rsidR="00335080" w14:paraId="51EC9BBD" w14:textId="77777777" w:rsidTr="00EA0A0F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29A8931C" w14:textId="77777777" w:rsidR="00335080" w:rsidRDefault="00335080" w:rsidP="00FC1BA8">
            <w:pPr>
              <w:spacing w:before="120" w:after="120"/>
              <w:rPr>
                <w:sz w:val="20"/>
                <w:szCs w:val="20"/>
                <w:lang w:val="de-CH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32067B2" w14:textId="77777777" w:rsidR="00335080" w:rsidRDefault="00335080" w:rsidP="00FC1BA8">
            <w:pPr>
              <w:rPr>
                <w:lang w:val="de-CH"/>
              </w:rPr>
            </w:pPr>
          </w:p>
        </w:tc>
        <w:tc>
          <w:tcPr>
            <w:tcW w:w="62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6FF4A" w14:textId="4CE02CF7" w:rsidR="00335080" w:rsidRPr="00335080" w:rsidRDefault="00335080" w:rsidP="00335080">
            <w:pPr>
              <w:spacing w:before="120" w:after="120"/>
              <w:jc w:val="center"/>
              <w:rPr>
                <w:sz w:val="20"/>
                <w:szCs w:val="20"/>
                <w:lang w:val="de-CH"/>
              </w:rPr>
            </w:pPr>
            <w:r w:rsidRPr="00335080">
              <w:rPr>
                <w:sz w:val="20"/>
                <w:szCs w:val="20"/>
                <w:lang w:val="de-CH"/>
              </w:rPr>
              <w:t>Senden</w:t>
            </w:r>
          </w:p>
        </w:tc>
      </w:tr>
    </w:tbl>
    <w:p w14:paraId="6780C4F1" w14:textId="77777777" w:rsidR="00F1660A" w:rsidRPr="00672CEB" w:rsidRDefault="00F1660A">
      <w:pPr>
        <w:rPr>
          <w:lang w:val="de-CH"/>
        </w:rPr>
      </w:pPr>
    </w:p>
    <w:sectPr w:rsidR="00F1660A" w:rsidRPr="00672CEB" w:rsidSect="00672C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EB"/>
    <w:rsid w:val="00032E68"/>
    <w:rsid w:val="00034E1F"/>
    <w:rsid w:val="001650AC"/>
    <w:rsid w:val="002F7AC2"/>
    <w:rsid w:val="00314DA5"/>
    <w:rsid w:val="00323842"/>
    <w:rsid w:val="00335080"/>
    <w:rsid w:val="004E6417"/>
    <w:rsid w:val="00672CEB"/>
    <w:rsid w:val="00676EFE"/>
    <w:rsid w:val="006C2E48"/>
    <w:rsid w:val="00782C1E"/>
    <w:rsid w:val="00811D2C"/>
    <w:rsid w:val="0085247A"/>
    <w:rsid w:val="008653DF"/>
    <w:rsid w:val="0096233A"/>
    <w:rsid w:val="00B606CA"/>
    <w:rsid w:val="00BF5DCE"/>
    <w:rsid w:val="00CE702C"/>
    <w:rsid w:val="00CF3A18"/>
    <w:rsid w:val="00D25435"/>
    <w:rsid w:val="00D30019"/>
    <w:rsid w:val="00E33FF2"/>
    <w:rsid w:val="00E65CB9"/>
    <w:rsid w:val="00E92C66"/>
    <w:rsid w:val="00EA0A0F"/>
    <w:rsid w:val="00EB7A6F"/>
    <w:rsid w:val="00F03857"/>
    <w:rsid w:val="00F1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01E96"/>
  <w15:chartTrackingRefBased/>
  <w15:docId w15:val="{47BD4A9D-1DB5-1B42-B2EA-BE8987FD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2CEB"/>
  </w:style>
  <w:style w:type="paragraph" w:styleId="berschrift1">
    <w:name w:val="heading 1"/>
    <w:basedOn w:val="Standard"/>
    <w:next w:val="Standard"/>
    <w:link w:val="berschrift1Zchn"/>
    <w:uiPriority w:val="9"/>
    <w:qFormat/>
    <w:rsid w:val="00672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72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2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2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2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2C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2C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2C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2C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2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72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2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2CE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2CE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2CE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2CE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2CE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2CE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72C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2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72C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2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72C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72CE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72CE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72CE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72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72CE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72CE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F3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Fehr</dc:creator>
  <cp:keywords/>
  <dc:description/>
  <cp:lastModifiedBy>Ruth Fehr</cp:lastModifiedBy>
  <cp:revision>4</cp:revision>
  <cp:lastPrinted>2024-07-22T14:42:00Z</cp:lastPrinted>
  <dcterms:created xsi:type="dcterms:W3CDTF">2024-07-22T14:53:00Z</dcterms:created>
  <dcterms:modified xsi:type="dcterms:W3CDTF">2024-07-22T15:02:00Z</dcterms:modified>
</cp:coreProperties>
</file>