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 w:line="320"/>
        <w:jc w:val="center"/>
      </w:pPr>
      <w:r>
        <w:rPr>
          <w:rFonts w:ascii="Calibri" w:cs="Calibri" w:eastAsia="Microsoft JhengHei" w:hAnsi="Calibri"/>
          <w:b/>
          <w:bCs/>
          <w:sz w:val="32"/>
          <w:szCs w:val="32"/>
        </w:rPr>
        <w:t xml:space="preserve">【XX公司】</w:t>
      </w:r>
    </w:p>
    <w:p>
      <w:pPr>
        <w:spacing w:after="600" w:line="320"/>
        <w:jc w:val="center"/>
      </w:pPr>
      <w:r>
        <w:rPr>
          <w:rFonts w:ascii="Calibri" w:cs="Calibri" w:eastAsia="Microsoft JhengHei" w:hAnsi="Calibri"/>
          <w:color w:val="595959"/>
          <w:sz w:val="24"/>
          <w:szCs w:val="24"/>
        </w:rPr>
        <w:t xml:space="preserve">資訊安全管理制度</w:t>
      </w:r>
    </w:p>
    <w:p>
      <w:pPr>
        <w:spacing w:after="120" w:line="320"/>
        <w:jc w:val="center"/>
      </w:pPr>
      <w:r>
        <w:rPr>
          <w:rFonts w:ascii="Calibri" w:cs="Calibri" w:eastAsia="Microsoft JhengHei" w:hAnsi="Calibri"/>
          <w:b/>
          <w:bCs/>
          <w:color w:val="1F3864"/>
          <w:sz w:val="40"/>
          <w:szCs w:val="40"/>
        </w:rPr>
        <w:t xml:space="preserve">機房與設備保護作業說明書</w:t>
      </w:r>
    </w:p>
    <w:p>
      <w:pPr>
        <w:spacing w:after="600" w:line="320"/>
        <w:jc w:val="center"/>
      </w:pPr>
      <w:r>
        <w:rPr>
          <w:rFonts w:ascii="Calibri" w:cs="Calibri" w:eastAsia="Microsoft JhengHei" w:hAnsi="Calibri"/>
          <w:color w:val="1F3864"/>
          <w:sz w:val="26"/>
          <w:szCs w:val="26"/>
        </w:rPr>
        <w:t xml:space="preserve">ISMS-L3-02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200"/>
        <w:gridCol w:w="7160"/>
      </w:tblGrid>
      <w:tr>
        <w:tc>
          <w:tcPr>
            <w:tcW w:type="dxa" w:w="2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文件編號</w:t>
            </w:r>
          </w:p>
        </w:tc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24"/>
                <w:szCs w:val="24"/>
              </w:rPr>
              <w:t xml:space="preserve">ISMS-L3-02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文件名稱</w:t>
            </w:r>
          </w:p>
        </w:tc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24"/>
                <w:szCs w:val="24"/>
              </w:rPr>
              <w:t xml:space="preserve">機房與設備保護作業說明書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機密等級</w:t>
            </w:r>
          </w:p>
        </w:tc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24"/>
                <w:szCs w:val="24"/>
              </w:rPr>
              <w:t xml:space="preserve">內部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版　　本</w:t>
            </w:r>
          </w:p>
        </w:tc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24"/>
                <w:szCs w:val="24"/>
              </w:rPr>
              <w:t xml:space="preserve">V1.0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發行日期</w:t>
            </w:r>
          </w:p>
        </w:tc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24"/>
                <w:szCs w:val="24"/>
              </w:rPr>
              <w:t xml:space="preserve">【yyyy/mm/dd】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對應標準</w:t>
            </w:r>
          </w:p>
        </w:tc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24"/>
                <w:szCs w:val="24"/>
              </w:rPr>
              <w:t xml:space="preserve">附錄 A 7.5、7.8、7.9、7.11、7.12、7.13、7.14；8.14（介面）｜運作能力 A04 資產管理／A07 實體安全／A13 持續性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制　訂</w:t>
            </w:r>
          </w:p>
        </w:tc>
        <w:tc>
          <w:tcPr>
            <w:tcW w:type="dxa" w:w="312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審　查</w:t>
            </w:r>
          </w:p>
        </w:tc>
        <w:tc>
          <w:tcPr>
            <w:tcW w:type="dxa" w:w="312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核　准</w:t>
            </w:r>
          </w:p>
        </w:tc>
      </w:tr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資訊單位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資訊安全工作小組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資訊安全專責主管</w:t>
            </w:r>
          </w:p>
        </w:tc>
      </w:tr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320"/>
      </w:pPr>
      <w:r>
        <w:rPr>
          <w:rFonts w:ascii="Calibri" w:cs="Calibri" w:eastAsia="Microsoft JhengHei" w:hAnsi="Calibri"/>
          <w:b/>
          <w:bCs/>
          <w:color w:val="1F3864"/>
          <w:sz w:val="28"/>
          <w:szCs w:val="28"/>
        </w:rPr>
        <w:t xml:space="preserve">修訂紀錄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900"/>
        <w:gridCol w:w="1500"/>
        <w:gridCol w:w="1300"/>
        <w:gridCol w:w="4360"/>
        <w:gridCol w:w="13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版次</w:t>
            </w:r>
          </w:p>
        </w:tc>
        <w:tc>
          <w:tcPr>
            <w:tcW w:type="dxa" w:w="15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修訂日期</w:t>
            </w:r>
          </w:p>
        </w:tc>
        <w:tc>
          <w:tcPr>
            <w:tcW w:type="dxa" w:w="1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修訂章節</w:t>
            </w:r>
          </w:p>
        </w:tc>
        <w:tc>
          <w:tcPr>
            <w:tcW w:type="dxa" w:w="436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修訂內容摘要</w:t>
            </w:r>
          </w:p>
        </w:tc>
        <w:tc>
          <w:tcPr>
            <w:tcW w:type="dxa" w:w="1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修訂者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V1.0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【yyyy/mm/dd】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全部</w:t>
            </w:r>
          </w:p>
        </w:tc>
        <w:tc>
          <w:tcPr>
            <w:tcW w:type="dxa" w:w="4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依 ISO/IEC 27001:2022／CNS 27001:2023 全面改版，整併原公版文件並重新編號。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4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4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4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  <w:ind w:left="560"/>
      </w:pPr>
      <w:r>
        <w:rPr>
          <w:rFonts w:ascii="Calibri" w:cs="Calibri" w:eastAsia="Microsoft JhengHei" w:hAnsi="Calibri"/>
          <w:i/>
          <w:iCs/>
          <w:color w:val="595959"/>
          <w:sz w:val="24"/>
          <w:szCs w:val="24"/>
        </w:rPr>
        <w:t xml:space="preserve">本文件來源：原 ISMS-L3-03 機房設備保護管理作業說明書 v1.0 改寫；新增機房環境設備檢查紀錄表。</w:t>
      </w:r>
    </w:p>
    <w:p>
      <w:r>
        <w:br w:type="page"/>
      </w:r>
    </w:p>
    <w:p>
      <w:pPr>
        <w:pStyle w:val="Heading1"/>
        <w:keepNext/>
        <w:spacing w:after="160" w:before="320"/>
      </w:pPr>
      <w:r>
        <w:rPr>
          <w:rFonts w:ascii="Calibri" w:cs="Calibri" w:eastAsia="Microsoft JhengHei" w:hAnsi="Calibri"/>
          <w:b/>
          <w:bCs/>
          <w:color w:val="1F3864"/>
          <w:sz w:val="28"/>
          <w:szCs w:val="28"/>
        </w:rPr>
        <w:t xml:space="preserve">1. 目的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1.1 規範機房環境設施與資訊設備之安置、保護、維護、進出、送修與汰除之操作要求，確保設備免於環境威脅、未經授權存取、遺失或損壞，並維持資訊處理設施之可用性。</w:t>
      </w:r>
    </w:p>
    <w:p>
      <w:pPr>
        <w:pStyle w:val="Heading1"/>
        <w:keepNext/>
        <w:spacing w:after="160" w:before="320"/>
      </w:pPr>
      <w:r>
        <w:rPr>
          <w:rFonts w:ascii="Calibri" w:cs="Calibri" w:eastAsia="Microsoft JhengHei" w:hAnsi="Calibri"/>
          <w:b/>
          <w:bCs/>
          <w:color w:val="1F3864"/>
          <w:sz w:val="28"/>
          <w:szCs w:val="28"/>
        </w:rPr>
        <w:t xml:space="preserve">2. 範圍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2.1 本公司機房（紅區）、網路配線間（黃區）及其內之伺服器、儲存、網路與資安設備、環境設施（電力、UPS、發電機、空調、消防、監控），以及設置於安全區域外之資訊設備。使用者端點與行動裝置依「ISMS-L3-05 媒體與行動裝置作業說明書」。</w:t>
      </w:r>
    </w:p>
    <w:p>
      <w:pPr>
        <w:pStyle w:val="Heading1"/>
        <w:keepNext/>
        <w:spacing w:after="160" w:before="320"/>
      </w:pPr>
      <w:r>
        <w:rPr>
          <w:rFonts w:ascii="Calibri" w:cs="Calibri" w:eastAsia="Microsoft JhengHei" w:hAnsi="Calibri"/>
          <w:b/>
          <w:bCs/>
          <w:color w:val="1F3864"/>
          <w:sz w:val="28"/>
          <w:szCs w:val="28"/>
        </w:rPr>
        <w:t xml:space="preserve">3. 名詞定義</w:t>
      </w:r>
    </w:p>
    <w:p>
      <w:pPr>
        <w:spacing w:after="100" w:line="320"/>
        <w:ind w:left="560"/>
      </w:pPr>
      <w:r>
        <w:rPr>
          <w:rFonts w:ascii="Calibri" w:cs="Calibri" w:eastAsia="Microsoft JhengHei" w:hAnsi="Calibri"/>
          <w:sz w:val="24"/>
          <w:szCs w:val="24"/>
        </w:rPr>
        <w:t xml:space="preserve">本文件所使用之名詞，依「ISMS-L1-01 資訊安全管理手冊」附錄 A「名詞解釋」之定義。</w:t>
      </w:r>
    </w:p>
    <w:p>
      <w:pPr>
        <w:pStyle w:val="Heading1"/>
        <w:keepNext/>
        <w:spacing w:after="160" w:before="320"/>
      </w:pPr>
      <w:r>
        <w:rPr>
          <w:rFonts w:ascii="Calibri" w:cs="Calibri" w:eastAsia="Microsoft JhengHei" w:hAnsi="Calibri"/>
          <w:b/>
          <w:bCs/>
          <w:color w:val="1F3864"/>
          <w:sz w:val="28"/>
          <w:szCs w:val="28"/>
        </w:rPr>
        <w:t xml:space="preserve">4. 權責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角色</w:t>
            </w:r>
          </w:p>
        </w:tc>
        <w:tc>
          <w:tcPr>
            <w:tcW w:type="dxa" w:w="676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責任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資訊安全專責主管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核准設備設置於機房外之申請；核准設備汰除。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資訊單位（機房管理者）</w:t>
            </w:r>
          </w:p>
        </w:tc>
        <w:tc>
          <w:tcPr>
            <w:tcW w:type="dxa" w:w="67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機房日常管理、環境檢查、設備維護排程、進出與異動登記、送修與汰除作業。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總務／管理單位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電力、空調、消防、發電機等設施之保養契約與執行。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設備負責人</w:t>
            </w:r>
          </w:p>
        </w:tc>
        <w:tc>
          <w:tcPr>
            <w:tcW w:type="dxa" w:w="67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所負責設備之正常運作、維護紀錄與組態文件。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20"/>
      </w:pPr>
      <w:r>
        <w:rPr>
          <w:rFonts w:ascii="Calibri" w:cs="Calibri" w:eastAsia="Microsoft JhengHei" w:hAnsi="Calibri"/>
          <w:b/>
          <w:bCs/>
          <w:color w:val="1F3864"/>
          <w:sz w:val="28"/>
          <w:szCs w:val="28"/>
        </w:rPr>
        <w:t xml:space="preserve">5. 作業說明</w:t>
      </w:r>
    </w:p>
    <w:p>
      <w:pPr>
        <w:pStyle w:val="Heading2"/>
        <w:keepNext/>
        <w:spacing w:after="120" w:before="240"/>
      </w:pPr>
      <w:r>
        <w:rPr>
          <w:rFonts w:ascii="Calibri" w:cs="Calibri" w:eastAsia="Microsoft JhengHei" w:hAnsi="Calibri"/>
          <w:b/>
          <w:bCs/>
          <w:color w:val="1F3864"/>
          <w:sz w:val="24"/>
          <w:szCs w:val="24"/>
        </w:rPr>
        <w:t xml:space="preserve">5.1 作業摘要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3600"/>
        <w:gridCol w:w="1600"/>
        <w:gridCol w:w="2200"/>
        <w:gridCol w:w="196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作業</w:t>
            </w:r>
          </w:p>
        </w:tc>
        <w:tc>
          <w:tcPr>
            <w:tcW w:type="dxa" w:w="1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頻率</w:t>
            </w:r>
          </w:p>
        </w:tc>
        <w:tc>
          <w:tcPr>
            <w:tcW w:type="dxa" w:w="2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責任者</w:t>
            </w:r>
          </w:p>
        </w:tc>
        <w:tc>
          <w:tcPr>
            <w:tcW w:type="dxa" w:w="196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紀錄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機房環境巡檢（溫濕度、UPS、空調、漏水、消防、門禁、機櫃）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每月（【每週】為佳）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機房管理者</w:t>
            </w:r>
          </w:p>
        </w:tc>
        <w:tc>
          <w:tcPr>
            <w:tcW w:type="dxa" w:w="1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ISMS-L4-63 機房環境設備檢查紀錄表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UPS 電池／發電機測試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半年／【季】</w:t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總務；機房管理者</w:t>
            </w:r>
          </w:p>
        </w:tc>
        <w:tc>
          <w:tcPr>
            <w:tcW w:type="dxa" w:w="19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同上；保養紀錄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消防設備檢查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依法規（年）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總務</w:t>
            </w:r>
          </w:p>
        </w:tc>
        <w:tc>
          <w:tcPr>
            <w:tcW w:type="dxa" w:w="1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消防檢查紀錄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空調保養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【季】</w:t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總務</w:t>
            </w:r>
          </w:p>
        </w:tc>
        <w:tc>
          <w:tcPr>
            <w:tcW w:type="dxa" w:w="19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保養紀錄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設備進出與異動登記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每次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設備負責人</w:t>
            </w:r>
          </w:p>
        </w:tc>
        <w:tc>
          <w:tcPr>
            <w:tcW w:type="dxa" w:w="1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ISMS-L4-61 資訊資產進出及異動紀錄表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設備汰除資料清除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每次</w:t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設備負責人→資訊安全專責主管核准</w:t>
            </w:r>
          </w:p>
        </w:tc>
        <w:tc>
          <w:tcPr>
            <w:tcW w:type="dxa" w:w="19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ISMS-L4-62 設備報廢資料清除確認單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維護契約審查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年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資訊單位</w:t>
            </w:r>
          </w:p>
        </w:tc>
        <w:tc>
          <w:tcPr>
            <w:tcW w:type="dxa" w:w="1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契約清單（ISMS-L4-40 資安列管合約清單）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Calibri" w:cs="Calibri" w:eastAsia="Microsoft JhengHei" w:hAnsi="Calibri"/>
          <w:b/>
          <w:bCs/>
          <w:color w:val="1F3864"/>
          <w:sz w:val="24"/>
          <w:szCs w:val="24"/>
        </w:rPr>
        <w:t xml:space="preserve">5.2 設備安置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5.2.1 伺服器、儲存、網路與資安設備應設置於機房（紅區）之機櫃內並上鎖；網路配線間為黃區並上鎖。使用者端點及其周邊得置於辦公區。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5.2.2 因營運需要須設置於機房外之設備（如廠區、分公司、代管機房），設備負責人應提出設置清單、目的與保護措施（上鎖、專人管理、環境控制、存取限制），經資訊安全專責主管核准後實施，並列入資產清冊註明位置；其保護要求不得低於同等級資產之要求。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5.2.3 設備擺放應考量：遠離窗戶、水管與漏水風險、避免直接目視、預留維護空間、不與易燃物共置；電力與通訊纜線分離佈設並標示。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5.2.4 網路埠：機房與辦公區未使用之網路埠應停用或於交換器關閉；交換器、路由器、防火牆之實體連接埠限於預設用途，禁止未經核准之設備連接（依「ISMS-L3-05 媒體與行動裝置作業說明書」申請）。</w:t>
      </w:r>
    </w:p>
    <w:p>
      <w:pPr>
        <w:pStyle w:val="Heading2"/>
        <w:keepNext/>
        <w:spacing w:after="120" w:before="240"/>
      </w:pPr>
      <w:r>
        <w:rPr>
          <w:rFonts w:ascii="Calibri" w:cs="Calibri" w:eastAsia="Microsoft JhengHei" w:hAnsi="Calibri"/>
          <w:b/>
          <w:bCs/>
          <w:color w:val="1F3864"/>
          <w:sz w:val="24"/>
          <w:szCs w:val="24"/>
        </w:rPr>
        <w:t xml:space="preserve">5.3 環境設施與支援公用事業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5.3.1 電力：機房應使用 UPS 供電，重要設備採雙電源或雙迴路；UPS 容量應可支撐至發電機啟動或安全關機；設備專用插座不得接用其他設備；禁止使用一般延長線，應使用機櫃 PDU。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5.3.2 空調與溫濕度：機房溫度維持【18～27】℃、相對溼度【40～60】%；設置溫濕度監測並於超出範圍時告警；空調定期保養。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5.3.3 消防：機房應設置適用於電子設備之滅火設備與煙霧偵測；禁止堆置易燃物、飲食、吸菸；消防設備依法規定期檢查。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5.3.4 漏水與其他：設置漏水偵測；空調排水與水管不得經過機櫃上方；必要時設置防鼠與防塵措施。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5.3.5 上述設施之狀態於每月巡檢時記錄於「ISMS-L4-63 機房環境設備檢查紀錄表」；異常應立即處理，影響服務者依「ISMS-L2-13 資訊安全事故管理程序書」通報。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5.3.6 監控：宜以環境監控系統（溫濕度、電力、漏水、門禁）即時告警並通知機房管理者；告警閾值依「ISMS-L3-07 主機安全、監控與容量管理作業說明書」。</w:t>
      </w:r>
    </w:p>
    <w:p>
      <w:pPr>
        <w:pStyle w:val="Heading2"/>
        <w:keepNext/>
        <w:spacing w:after="120" w:before="240"/>
      </w:pPr>
      <w:r>
        <w:rPr>
          <w:rFonts w:ascii="Calibri" w:cs="Calibri" w:eastAsia="Microsoft JhengHei" w:hAnsi="Calibri"/>
          <w:b/>
          <w:bCs/>
          <w:color w:val="1F3864"/>
          <w:sz w:val="24"/>
          <w:szCs w:val="24"/>
        </w:rPr>
        <w:t xml:space="preserve">5.4 佈纜安全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5.4.1 電力與通訊纜線應以線槽、管道或機櫃內理線保護，避免踩踏、拉扯或切割；纜線兩端標示用途與對應設備；配線架與跳線紀錄由資訊單位維護並於變更時更新。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5.4.2 對外線路之引入點與配線間應上鎖並限制進入；重要線路宜有備援路徑（「ISMS-L2-14 營運持續管理程序書」）。</w:t>
      </w:r>
    </w:p>
    <w:p>
      <w:pPr>
        <w:pStyle w:val="Heading2"/>
        <w:keepNext/>
        <w:spacing w:after="120" w:before="240"/>
      </w:pPr>
      <w:r>
        <w:rPr>
          <w:rFonts w:ascii="Calibri" w:cs="Calibri" w:eastAsia="Microsoft JhengHei" w:hAnsi="Calibri"/>
          <w:b/>
          <w:bCs/>
          <w:color w:val="1F3864"/>
          <w:sz w:val="24"/>
          <w:szCs w:val="24"/>
        </w:rPr>
        <w:t xml:space="preserve">5.5 設備維護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5.5.1 設備應依原廠建議週期保養並保留紀錄；維護契約由資訊單位保管並每年審查到期日與維護需求，需維護者依「ISMS-L2-12 供應者關係與雲服務安全管理程序書」簽訂。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5.5.2 供應者人員執行維護時，依「ISMS-L2-09 實體與環境安全管理程序書」登記進出並由授權人員陪同；遠端維護連線依「ISMS-L3-04 遠距工作作業說明書」與「ISMS-L3-06 網路與防火牆管理作業說明書」申請並於完成後關閉。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5.5.3 維護前應確認備份可用；維護涉及組態或軟體變更者依「ISMS-L2-05 變更管理程序書」辦理；維護完成後檢查功能與安全設定並記錄。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5.5.4 設備送修：送修前應移除或加密其中 2 級以上資訊（移除硬碟或安全刪除）；無法移除者應要求維修廠商簽署保密協議並陪同維修；送修與返回記錄於「ISMS-L4-61 資訊資產進出及異動紀錄表」。</w:t>
      </w:r>
    </w:p>
    <w:p>
      <w:pPr>
        <w:pStyle w:val="Heading2"/>
        <w:keepNext/>
        <w:spacing w:after="120" w:before="240"/>
      </w:pPr>
      <w:r>
        <w:rPr>
          <w:rFonts w:ascii="Calibri" w:cs="Calibri" w:eastAsia="Microsoft JhengHei" w:hAnsi="Calibri"/>
          <w:b/>
          <w:bCs/>
          <w:color w:val="1F3864"/>
          <w:sz w:val="24"/>
          <w:szCs w:val="24"/>
        </w:rPr>
        <w:t xml:space="preserve">5.6 設備進出與移動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5.6.1 機房內設備未經機房管理者同意不得移動或攜出；設備進出紅區、黃區應填寫「ISMS-L4-61 資訊資產進出及異動紀錄表」（設備、編號、原因、進出時間、經手人、核准人）。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5.6.2 設備攜出前應評估其資料等級並採取加密或移除；返回時檢查完整性並掃毒。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5.6.3 多備援：3 級以上資產之備援（雙電源、備援線路、叢集、備用設備）依「ISMS-L2-07 資訊資產管理程序書」5.5.2 之要求規劃，並於「ISMS-L2-14 營運持續管理程序書」營運持續計畫記載。</w:t>
      </w:r>
    </w:p>
    <w:p>
      <w:pPr>
        <w:pStyle w:val="Heading2"/>
        <w:keepNext/>
        <w:spacing w:after="120" w:before="240"/>
      </w:pPr>
      <w:r>
        <w:rPr>
          <w:rFonts w:ascii="Calibri" w:cs="Calibri" w:eastAsia="Microsoft JhengHei" w:hAnsi="Calibri"/>
          <w:b/>
          <w:bCs/>
          <w:color w:val="1F3864"/>
          <w:sz w:val="24"/>
          <w:szCs w:val="24"/>
        </w:rPr>
        <w:t xml:space="preserve">5.7 設備汰除或再使用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5.7.1 設備汰除、報廢、轉售、捐贈或轉作他用前，設備負責人應確認其中儲存媒體之資料已依下列方式清除，填寫「ISMS-L4-62 設備報廢資料清除確認單」經資訊安全專責主管核准，並更新資產清冊：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媒體資料等級</w:t>
            </w:r>
          </w:p>
        </w:tc>
        <w:tc>
          <w:tcPr>
            <w:tcW w:type="dxa" w:w="3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再使用（內部）</w:t>
            </w:r>
          </w:p>
        </w:tc>
        <w:tc>
          <w:tcPr>
            <w:tcW w:type="dxa" w:w="356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汰除／離開本公司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1～2 級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格式化或安全刪除工具覆寫</w:t>
            </w:r>
          </w:p>
        </w:tc>
        <w:tc>
          <w:tcPr>
            <w:tcW w:type="dxa" w:w="3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安全刪除工具覆寫至少 1 次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3 級（密）</w:t>
            </w:r>
          </w:p>
        </w:tc>
        <w:tc>
          <w:tcPr>
            <w:tcW w:type="dxa" w:w="3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安全刪除工具覆寫</w:t>
            </w:r>
          </w:p>
        </w:tc>
        <w:tc>
          <w:tcPr>
            <w:tcW w:type="dxa" w:w="35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覆寫並消磁，或實體破壞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4 級（機密）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覆寫並由第二人確認</w:t>
            </w:r>
          </w:p>
        </w:tc>
        <w:tc>
          <w:tcPr>
            <w:tcW w:type="dxa" w:w="3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消磁並實體破壞，留存照片或廠商銷毀證明</w:t>
            </w:r>
          </w:p>
        </w:tc>
      </w:tr>
    </w:tbl>
    <w:p>
      <w:pPr>
        <w:spacing w:after="120"/>
      </w:pP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5.7.2 委外銷毀時應選擇具信譽之廠商，簽訂保密協議並取得銷毀證明；本公司人員宜陪同或以照片存證。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5.7.3 含韌體設定之設備（網路設備、印表機、事務機）汰除前應重設為出廠設定並清除儲存區與帳號；租賃設備歸還前亦同。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5.7.4 暫不銷毀之失效設備應標示「失效／待銷毀」並存放於上鎖區域，其資料先行清除。</w:t>
      </w:r>
    </w:p>
    <w:p>
      <w:pPr>
        <w:pStyle w:val="Heading1"/>
        <w:keepNext/>
        <w:spacing w:after="160" w:before="320"/>
      </w:pPr>
      <w:r>
        <w:rPr>
          <w:rFonts w:ascii="Calibri" w:cs="Calibri" w:eastAsia="Microsoft JhengHei" w:hAnsi="Calibri"/>
          <w:b/>
          <w:bCs/>
          <w:color w:val="1F3864"/>
          <w:sz w:val="28"/>
          <w:szCs w:val="28"/>
        </w:rPr>
        <w:t xml:space="preserve">6. 紀錄與保存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6.1 執行本程序所產生之紀錄，依「ISMS-L2-02 文件化資訊管理程序書」管制；保存期限除法令、法規或契約另有規定外，依下表辦理：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800"/>
        <w:gridCol w:w="1500"/>
        <w:gridCol w:w="1200"/>
        <w:gridCol w:w="1800"/>
        <w:gridCol w:w="2060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紀錄名稱</w:t>
            </w:r>
          </w:p>
        </w:tc>
        <w:tc>
          <w:tcPr>
            <w:tcW w:type="dxa" w:w="15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表單編號</w:t>
            </w:r>
          </w:p>
        </w:tc>
        <w:tc>
          <w:tcPr>
            <w:tcW w:type="dxa" w:w="1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保存期限</w:t>
            </w:r>
          </w:p>
        </w:tc>
        <w:tc>
          <w:tcPr>
            <w:tcW w:type="dxa" w:w="18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保管者</w:t>
            </w:r>
          </w:p>
        </w:tc>
        <w:tc>
          <w:tcPr>
            <w:tcW w:type="dxa" w:w="206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保存方式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機房環境設備檢查紀錄表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ISMS-L4-63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【3】年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資訊單位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紙本／電子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資訊資產進出及異動紀錄表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ISMS-L4-61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【3】年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資訊單位</w:t>
            </w:r>
          </w:p>
        </w:tc>
        <w:tc>
          <w:tcPr>
            <w:tcW w:type="dxa" w:w="20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紙本／電子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設備報廢資料清除確認單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ISMS-L4-62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【3】年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資訊單位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紙本／電子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設備保養、消防檢查、UPS 測試紀錄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—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【3】年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總務／資訊單位</w:t>
            </w:r>
          </w:p>
        </w:tc>
        <w:tc>
          <w:tcPr>
            <w:tcW w:type="dxa" w:w="20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紙本／電子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20"/>
      </w:pPr>
      <w:r>
        <w:rPr>
          <w:rFonts w:ascii="Calibri" w:cs="Calibri" w:eastAsia="Microsoft JhengHei" w:hAnsi="Calibri"/>
          <w:b/>
          <w:bCs/>
          <w:color w:val="1F3864"/>
          <w:sz w:val="28"/>
          <w:szCs w:val="28"/>
        </w:rPr>
        <w:t xml:space="preserve">7. 相關文件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7.1 ISMS-L2-05 變更管理程序書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7.2 ISMS-L2-07 資訊資產管理程序書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7.3 ISMS-L2-09 實體與環境安全管理程序書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7.4 ISMS-L2-12 供應者關係與雲服務安全管理程序書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7.5 ISMS-L2-13 資訊安全事故管理程序書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7.6 ISMS-L2-14 營運持續管理程序書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7.7 ISMS-L3-04 遠距工作作業說明書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7.8 ISMS-L3-05 媒體與行動裝置作業說明書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7.9 ISMS-L3-06 網路與防火牆管理作業說明書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7.10 ISMS-L3-07 主機安全、監控與容量管理作業說明書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7.11 ISMS-L3-14 資料保護作業說明書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7.12 ISMS-L4-63 機房環境設備檢查紀錄表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7.13 ISMS-L4-61 資訊資產進出及異動紀錄表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7.14 ISMS-L4-62 設備報廢資料清除確認單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7.15 ISMS-L4-40 資安列管合約清單</w:t>
      </w:r>
    </w:p>
    <w:p>
      <w:r>
        <w:br w:type="page"/>
      </w:r>
    </w:p>
    <w:p>
      <w:pPr>
        <w:pStyle w:val="Heading1"/>
        <w:keepNext/>
        <w:spacing w:after="160" w:before="320"/>
      </w:pPr>
      <w:r>
        <w:rPr>
          <w:rFonts w:ascii="Calibri" w:cs="Calibri" w:eastAsia="Microsoft JhengHei" w:hAnsi="Calibri"/>
          <w:b/>
          <w:bCs/>
          <w:color w:val="1F3864"/>
          <w:sz w:val="28"/>
          <w:szCs w:val="28"/>
        </w:rPr>
        <w:t xml:space="preserve">附錄 A　機房環境巡檢項目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項目</w:t>
            </w:r>
          </w:p>
        </w:tc>
        <w:tc>
          <w:tcPr>
            <w:tcW w:type="dxa" w:w="4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檢查內容</w:t>
            </w:r>
          </w:p>
        </w:tc>
        <w:tc>
          <w:tcPr>
            <w:tcW w:type="dxa" w:w="296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正常範圍／狀態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溫度／濕度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監測值與告警</w:t>
            </w:r>
          </w:p>
        </w:tc>
        <w:tc>
          <w:tcPr>
            <w:tcW w:type="dxa" w:w="2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【18～27】℃／【40～60】%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UPS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電池狀態、負載、告警燈、剩餘時間</w:t>
            </w:r>
          </w:p>
        </w:tc>
        <w:tc>
          <w:tcPr>
            <w:tcW w:type="dxa" w:w="29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無告警；負載 &lt;【70】%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發電機（如有）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油量、啟動測試</w:t>
            </w:r>
          </w:p>
        </w:tc>
        <w:tc>
          <w:tcPr>
            <w:tcW w:type="dxa" w:w="2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可啟動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空調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運轉、濾網、排水</w:t>
            </w:r>
          </w:p>
        </w:tc>
        <w:tc>
          <w:tcPr>
            <w:tcW w:type="dxa" w:w="29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正常運轉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漏水偵測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感測器狀態、地面積水</w:t>
            </w:r>
          </w:p>
        </w:tc>
        <w:tc>
          <w:tcPr>
            <w:tcW w:type="dxa" w:w="2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無告警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消防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滅火器壓力與效期、煙霧偵測器</w:t>
            </w:r>
          </w:p>
        </w:tc>
        <w:tc>
          <w:tcPr>
            <w:tcW w:type="dxa" w:w="29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在效期內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門禁與監視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門鎖、讀卡機、攝影機錄影狀態</w:t>
            </w:r>
          </w:p>
        </w:tc>
        <w:tc>
          <w:tcPr>
            <w:tcW w:type="dxa" w:w="2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正常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機櫃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上鎖、理線、無雜物、無異音異味</w:t>
            </w:r>
          </w:p>
        </w:tc>
        <w:tc>
          <w:tcPr>
            <w:tcW w:type="dxa" w:w="29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正常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環境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清潔、無易燃物、無飲食</w:t>
            </w:r>
          </w:p>
        </w:tc>
        <w:tc>
          <w:tcPr>
            <w:tcW w:type="dxa" w:w="2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正常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headerReference w:type="first" r:id="rId10"/>
      <w:headerReference w:type="even" r:id="rId11"/>
      <w:pgSz w:w="11906" w:h="16838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7F7F7F"/>
        <w:sz w:val="16"/>
        <w:szCs w:val="16"/>
      </w:rPr>
      <w:t xml:space="preserve">機密等級：內部　｜　第 </w:t>
    </w:r>
    <w:r>
      <w:rPr>
        <w:rFonts w:ascii="Calibri" w:cs="Calibri" w:eastAsia="Microsoft JhengHe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JhengHei" w:hAnsi="Calibri"/>
        <w:color w:val="7F7F7F"/>
        <w:sz w:val="16"/>
        <w:szCs w:val="16"/>
      </w:rPr>
      <w:t xml:space="preserve"> 頁，共 </w:t>
    </w:r>
    <w:r>
      <w:rPr>
        <w:rFonts w:ascii="Calibri" w:cs="Calibri" w:eastAsia="Microsoft JhengHei" w:hAnsi="Calibri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Microsoft JhengHei" w:hAnsi="Calibri"/>
        <w:color w:val="7F7F7F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4" w:space="4"/>
      </w:pBdr>
      <w:tabs>
        <w:tab w:val="right" w:pos="9360"/>
      </w:tabs>
    </w:pPr>
    <w:r>
      <w:rPr>
        <w:rFonts w:ascii="Calibri" w:cs="Calibri" w:eastAsia="Microsoft JhengHei" w:hAnsi="Calibri"/>
        <w:color w:val="7F7F7F"/>
        <w:sz w:val="16"/>
        <w:szCs w:val="16"/>
      </w:rPr>
      <w:t>資訊安全管理制度</w:t>
    </w:r>
    <w:r>
      <w:rPr>
        <w:rFonts w:ascii="Calibri" w:cs="Calibri" w:eastAsia="Microsoft JhengHei" w:hAnsi="Calibri"/>
        <w:color w:val="7F7F7F"/>
        <w:sz w:val="16"/>
        <w:szCs w:val="16"/>
      </w:rPr>
      <w:t xml:space="preserve">	ISMS-L3-02 機房與設備保護作業說明書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20" w:hanging="300"/>
      </w:pPr>
    </w:lvl>
    <w:lvl w:ilvl="1" w15:tentative="1">
      <w:start w:val="1"/>
      <w:numFmt w:val="bullet"/>
      <w:lvlText w:val="–"/>
      <w:lvlJc w:val="left"/>
      <w:pPr>
        <w:ind w:left="12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Microsoft JhengHe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Microsoft JhengHe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Microsoft JhengHei" w:hAnsi="Calibri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ISMS-L3-02 機房與設備保護作業說明書</dc:title>
  <dc:creator>【XX公司】</dc:creator>
  <cp:lastModifiedBy>Un-named</cp:lastModifiedBy>
  <cp:revision>1</cp:revision>
  <dcterms:created xsi:type="dcterms:W3CDTF">2026-08-29T09:17:02.862Z</dcterms:created>
  <dcterms:modified xsi:type="dcterms:W3CDTF">2026-08-29T09:17:02.863Z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