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Bases legais do tratamento - QDI</w:t>
      </w:r>
    </w:p>
    <w:bookmarkStart w:id="12" w:name="Xb48c9c01d3283769e8d7c72e7923cb26c42e508"/>
    <w:p>
      <w:pPr>
        <w:pStyle w:val="Heading1"/>
      </w:pPr>
      <w:r>
        <w:t xml:space="preserve">Bases legais do tratamento — QualiDiagIQ (rascunho técnico)</w:t>
      </w:r>
    </w:p>
    <w:p>
      <w:pPr>
        <w:pStyle w:val="BlockText"/>
      </w:pPr>
      <w:r>
        <w:rPr>
          <w:b/>
          <w:bCs/>
        </w:rPr>
        <w:t xml:space="preserve">Atenção:</w:t>
      </w:r>
      <w:r>
        <w:t xml:space="preserve"> </w:t>
      </w:r>
      <w:r>
        <w:t xml:space="preserve">texto orientador para jurídico/DPO. Não substitui política de privacidade publicada nem RIPD assinado.</w:t>
      </w:r>
    </w:p>
    <w:bookmarkStart w:id="9" w:name="finalidades-e-bases-lgpd-art.-7º"/>
    <w:p>
      <w:pPr>
        <w:pStyle w:val="Heading2"/>
      </w:pPr>
      <w:r>
        <w:t xml:space="preserve">Finalidades e bases (LGPD, art. 7º)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9"/>
        <w:gridCol w:w="3394"/>
        <w:gridCol w:w="258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Finalidade</w:t>
            </w:r>
          </w:p>
        </w:tc>
        <w:tc>
          <w:tcPr/>
          <w:p>
            <w:pPr>
              <w:pStyle w:val="Compact"/>
            </w:pPr>
            <w:r>
              <w:t xml:space="preserve">Base legal sugerida</w:t>
            </w:r>
          </w:p>
        </w:tc>
        <w:tc>
          <w:tcPr/>
          <w:p>
            <w:pPr>
              <w:pStyle w:val="Compact"/>
            </w:pPr>
            <w:r>
              <w:t xml:space="preserve">Notas técnicas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Execução do diagnóstico e entrega do relatório</w:t>
            </w:r>
          </w:p>
        </w:tc>
        <w:tc>
          <w:tcPr/>
          <w:p>
            <w:pPr>
              <w:pStyle w:val="Compact"/>
            </w:pPr>
            <w:r>
              <w:t xml:space="preserve">Art. 7º, V (execução de contrato / procedimentos preliminares)</w:t>
            </w:r>
          </w:p>
        </w:tc>
        <w:tc>
          <w:tcPr/>
          <w:p>
            <w:pPr>
              <w:pStyle w:val="Compact"/>
            </w:pPr>
            <w:r>
              <w:t xml:space="preserve">Dados mínimos no wizard; tenant RLS.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OTP e comunicações transaccionais</w:t>
            </w:r>
          </w:p>
        </w:tc>
        <w:tc>
          <w:tcPr/>
          <w:p>
            <w:pPr>
              <w:pStyle w:val="Compact"/>
            </w:pPr>
            <w:r>
              <w:t xml:space="preserve">Art. 7º, V</w:t>
            </w:r>
          </w:p>
        </w:tc>
        <w:tc>
          <w:tcPr/>
          <w:p>
            <w:pPr>
              <w:pStyle w:val="Compact"/>
            </w:pPr>
            <w:r>
              <w:t xml:space="preserve">E-mail transaccional via fornecedor configurado.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Segurança, prevenção a fraude, métricas agregadas</w:t>
            </w:r>
          </w:p>
        </w:tc>
        <w:tc>
          <w:tcPr/>
          <w:p>
            <w:pPr>
              <w:pStyle w:val="Compact"/>
            </w:pPr>
            <w:r>
              <w:t xml:space="preserve">Art. 7º, IX (legítimo interesse) + Art. 10 quando aplicável</w:t>
            </w:r>
          </w:p>
        </w:tc>
        <w:tc>
          <w:tcPr/>
          <w:p>
            <w:pPr>
              <w:pStyle w:val="Compact"/>
            </w:pPr>
            <w:r>
              <w:t xml:space="preserve">Logs com</w:t>
            </w:r>
            <w:r>
              <w:t xml:space="preserve"> </w:t>
            </w:r>
            <w:r>
              <w:rPr>
                <w:rStyle w:val="VerbatimChar"/>
              </w:rPr>
              <w:t xml:space="preserve">trace_id</w:t>
            </w:r>
            <w:r>
              <w:t xml:space="preserve">; Sentry com scrubbing.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Obrigações legais / defesa em controvérsia</w:t>
            </w:r>
          </w:p>
        </w:tc>
        <w:tc>
          <w:tcPr/>
          <w:p>
            <w:pPr>
              <w:pStyle w:val="Compact"/>
            </w:pPr>
            <w:r>
              <w:t xml:space="preserve">Art. 7º, II</w:t>
            </w:r>
          </w:p>
        </w:tc>
        <w:tc>
          <w:tcPr/>
          <w:p>
            <w:pPr>
              <w:pStyle w:val="Compact"/>
            </w:pPr>
            <w:r>
              <w:t xml:space="preserve">Retenção núcleo fiscal — ver ADR-012 e</w:t>
            </w:r>
            <w:r>
              <w:t xml:space="preserve"> </w:t>
            </w:r>
            <w:r>
              <w:rPr>
                <w:rStyle w:val="VerbatimChar"/>
              </w:rPr>
              <w:t xml:space="preserve">docs/operacao/RETENCAO_DADOS.md</w:t>
            </w:r>
            <w:r>
              <w:t xml:space="preserve">.</w:t>
            </w:r>
          </w:p>
        </w:tc>
      </w:tr>
    </w:tbl>
    <w:bookmarkEnd w:id="9"/>
    <w:bookmarkStart w:id="10" w:name="normas-sectoriais-relevantes"/>
    <w:p>
      <w:pPr>
        <w:pStyle w:val="Heading2"/>
      </w:pPr>
      <w:r>
        <w:t xml:space="preserve">Normas sectoriais relevantes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EC 132/2023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LC 214/2025</w:t>
      </w:r>
      <w:r>
        <w:t xml:space="preserve"> </w:t>
      </w:r>
      <w:r>
        <w:t xml:space="preserve">— enquadramento da reforma do consumo (contexto do produto).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Lei 13.709/2018 (LGPD)</w:t>
      </w:r>
      <w:r>
        <w:t xml:space="preserve"> </w:t>
      </w:r>
      <w:r>
        <w:t xml:space="preserve">— tratamento de dados pessoais.</w:t>
      </w:r>
    </w:p>
    <w:bookmarkEnd w:id="10"/>
    <w:bookmarkStart w:id="11" w:name="próximo-passo"/>
    <w:p>
      <w:pPr>
        <w:pStyle w:val="Heading2"/>
      </w:pPr>
      <w:r>
        <w:t xml:space="preserve">Próximo passo</w:t>
      </w:r>
    </w:p>
    <w:p>
      <w:pPr>
        <w:pStyle w:val="FirstParagraph"/>
      </w:pPr>
      <w:r>
        <w:t xml:space="preserve">Validação e assinatura pelo</w:t>
      </w:r>
      <w:r>
        <w:t xml:space="preserve"> </w:t>
      </w:r>
      <w:r>
        <w:rPr>
          <w:b/>
          <w:bCs/>
        </w:rPr>
        <w:t xml:space="preserve">encarregado/DPO</w:t>
      </w:r>
      <w:r>
        <w:t xml:space="preserve"> </w:t>
      </w:r>
      <w:r>
        <w:t xml:space="preserve">e publicação alinhada ao site.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legais do tratamento - QDI</dc:title>
  <dc:creator/>
  <cp:keywords/>
  <dcterms:created xsi:type="dcterms:W3CDTF">2026-05-13T20:04:10Z</dcterms:created>
  <dcterms:modified xsi:type="dcterms:W3CDTF">2026-05-13T20:04:10Z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