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RAT - Relatório de Avaliação de Tratamento - QDI</w:t>
      </w:r>
    </w:p>
    <w:bookmarkStart w:id="15" w:name="X2489ebfba8592e717fec2cb84e266308f443047"/>
    <w:p>
      <w:pPr>
        <w:pStyle w:val="Heading1"/>
      </w:pPr>
      <w:r>
        <w:t xml:space="preserve">Relatório de Avaliação de Tratamento (RAT) — QualiDiagIQ</w:t>
      </w:r>
    </w:p>
    <w:p>
      <w:pPr>
        <w:pStyle w:val="FirstParagraph"/>
      </w:pPr>
      <w:r>
        <w:t xml:space="preserve">Documento operacional de suporte ao Art. 37 da Lei nº 13.709/2018 (LGPD), em alinhamento ao inventário de tratamentos e ao</w:t>
      </w:r>
      <w:r>
        <w:t xml:space="preserve"> </w:t>
      </w:r>
      <w:r>
        <w:rPr>
          <w:b/>
          <w:bCs/>
        </w:rPr>
        <w:t xml:space="preserve">STATUS_JURIDICO_MVP.md</w:t>
      </w:r>
      <w:r>
        <w:t xml:space="preserve"> </w:t>
      </w:r>
      <w:r>
        <w:t xml:space="preserve">do mesmo diretório.</w:t>
      </w:r>
    </w:p>
    <w:bookmarkStart w:id="9" w:name="identificação-do-tratamento"/>
    <w:p>
      <w:pPr>
        <w:pStyle w:val="Heading2"/>
      </w:pPr>
      <w:r>
        <w:t xml:space="preserve">Identificação do tratamento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96"/>
        <w:gridCol w:w="42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Produto</w:t>
            </w:r>
          </w:p>
        </w:tc>
        <w:tc>
          <w:tcPr/>
          <w:p>
            <w:pPr>
              <w:pStyle w:val="Compact"/>
            </w:pPr>
            <w:r>
              <w:t xml:space="preserve">QualiDiagIQ (QDI), módulo Tributiq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Versão documental</w:t>
            </w:r>
          </w:p>
        </w:tc>
        <w:tc>
          <w:tcPr/>
          <w:p>
            <w:pPr>
              <w:pStyle w:val="Compact"/>
            </w:pPr>
            <w:r>
              <w:t xml:space="preserve">MVP / sprint corrente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Responsável pelo tratamento</w:t>
            </w:r>
          </w:p>
        </w:tc>
        <w:tc>
          <w:tcPr/>
          <w:p>
            <w:pPr>
              <w:pStyle w:val="Compact"/>
            </w:pPr>
            <w:r>
              <w:t xml:space="preserve">conforme contrato / política de privacidade publicada no site</w:t>
            </w:r>
          </w:p>
        </w:tc>
      </w:tr>
    </w:tbl>
    <w:bookmarkEnd w:id="9"/>
    <w:bookmarkStart w:id="10" w:name="finalidades"/>
    <w:p>
      <w:pPr>
        <w:pStyle w:val="Heading2"/>
      </w:pPr>
      <w:r>
        <w:t xml:space="preserve">Finalidades</w:t>
      </w:r>
    </w:p>
    <w:p>
      <w:pPr>
        <w:pStyle w:val="Compact"/>
        <w:numPr>
          <w:ilvl w:val="0"/>
          <w:numId w:val="1001"/>
        </w:numPr>
      </w:pPr>
      <w:r>
        <w:t xml:space="preserve">Prestação do diagnóstico tributário automatizado (wizard e relatório).</w:t>
      </w:r>
    </w:p>
    <w:p>
      <w:pPr>
        <w:pStyle w:val="Compact"/>
        <w:numPr>
          <w:ilvl w:val="0"/>
          <w:numId w:val="1001"/>
        </w:numPr>
      </w:pPr>
      <w:r>
        <w:t xml:space="preserve">Comunicações transacionais (OTP por e-mail, confirmação de posse da caixa de entrada).</w:t>
      </w:r>
    </w:p>
    <w:p>
      <w:pPr>
        <w:pStyle w:val="Compact"/>
        <w:numPr>
          <w:ilvl w:val="0"/>
          <w:numId w:val="1001"/>
        </w:numPr>
      </w:pPr>
      <w:r>
        <w:t xml:space="preserve">Operação da conta na plataforma (autenticação de consultores autorizados).</w:t>
      </w:r>
    </w:p>
    <w:bookmarkEnd w:id="10"/>
    <w:bookmarkStart w:id="11" w:name="base-legal-sumário"/>
    <w:p>
      <w:pPr>
        <w:pStyle w:val="Heading2"/>
      </w:pPr>
      <w:r>
        <w:t xml:space="preserve">Base legal (sumário)</w:t>
      </w:r>
    </w:p>
    <w:p>
      <w:pPr>
        <w:pStyle w:val="Compact"/>
        <w:numPr>
          <w:ilvl w:val="0"/>
          <w:numId w:val="1002"/>
        </w:numPr>
      </w:pPr>
      <w:r>
        <w:t xml:space="preserve">Execução de contrato e procedimentos preliminares (Art. 7º, V).</w:t>
      </w:r>
    </w:p>
    <w:p>
      <w:pPr>
        <w:pStyle w:val="Compact"/>
        <w:numPr>
          <w:ilvl w:val="0"/>
          <w:numId w:val="1002"/>
        </w:numPr>
      </w:pPr>
      <w:r>
        <w:t xml:space="preserve">Legítimo interesse, quando aplicável a métricas agregadas de produto (Art. 7º, IX), com teste de balanceamento documentado na camada jurídica.</w:t>
      </w:r>
    </w:p>
    <w:bookmarkEnd w:id="11"/>
    <w:bookmarkStart w:id="12" w:name="Xdf741eb3908c459503cf4acc0da672449153d0d"/>
    <w:p>
      <w:pPr>
        <w:pStyle w:val="Heading2"/>
      </w:pPr>
      <w:r>
        <w:t xml:space="preserve">Medidas técnicas relevantes (snapshot engenharia)</w:t>
      </w:r>
    </w:p>
    <w:p>
      <w:pPr>
        <w:pStyle w:val="Compact"/>
        <w:numPr>
          <w:ilvl w:val="0"/>
          <w:numId w:val="1003"/>
        </w:numPr>
      </w:pPr>
      <w:r>
        <w:t xml:space="preserve">Multi-tenant com isolamento por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 </w:t>
      </w:r>
      <w:r>
        <w:t xml:space="preserve">no PostgreSQL (RLS).</w:t>
      </w:r>
    </w:p>
    <w:p>
      <w:pPr>
        <w:pStyle w:val="Compact"/>
        <w:numPr>
          <w:ilvl w:val="0"/>
          <w:numId w:val="1003"/>
        </w:numPr>
      </w:pPr>
      <w:r>
        <w:t xml:space="preserve">Evidências e artefactos de diagnóstico com trilhas de auditoria conforme migrações</w:t>
      </w:r>
      <w:r>
        <w:t xml:space="preserve"> </w:t>
      </w:r>
      <w:r>
        <w:rPr>
          <w:rStyle w:val="VerbatimChar"/>
        </w:rPr>
        <w:t xml:space="preserve">qdi.*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Tokens de sessão e fluxos self-service descritos na API (</w:t>
      </w:r>
      <w:r>
        <w:rPr>
          <w:rStyle w:val="VerbatimChar"/>
        </w:rPr>
        <w:t xml:space="preserve">/auth/*</w:t>
      </w:r>
      <w:r>
        <w:t xml:space="preserve">,</w:t>
      </w:r>
      <w:r>
        <w:t xml:space="preserve"> </w:t>
      </w:r>
      <w:r>
        <w:rPr>
          <w:rStyle w:val="VerbatimChar"/>
        </w:rPr>
        <w:t xml:space="preserve">/diagnosticos/*</w:t>
      </w:r>
      <w:r>
        <w:t xml:space="preserve">).</w:t>
      </w:r>
    </w:p>
    <w:bookmarkEnd w:id="12"/>
    <w:bookmarkStart w:id="13" w:name="retenção-e-eliminação"/>
    <w:p>
      <w:pPr>
        <w:pStyle w:val="Heading2"/>
      </w:pPr>
      <w:r>
        <w:t xml:space="preserve">Retenção e eliminação</w:t>
      </w:r>
    </w:p>
    <w:p>
      <w:pPr>
        <w:pStyle w:val="FirstParagraph"/>
      </w:pPr>
      <w:r>
        <w:t xml:space="preserve">Prazos e critérios de eliminação devem espelhar a política de retenção aprovada pelo encarregado/DPO e o registro de operações de tratamento (ROT); atualizar esta secção quando o ROT oficial for publicado.</w:t>
      </w:r>
    </w:p>
    <w:bookmarkEnd w:id="13"/>
    <w:bookmarkStart w:id="14" w:name="revisão"/>
    <w:p>
      <w:pPr>
        <w:pStyle w:val="Heading2"/>
      </w:pPr>
      <w:r>
        <w:t xml:space="preserve">Revisão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2772"/>
        <w:gridCol w:w="277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Autor</w:t>
            </w:r>
          </w:p>
        </w:tc>
        <w:tc>
          <w:tcPr/>
          <w:p>
            <w:pPr>
              <w:pStyle w:val="Compact"/>
            </w:pPr>
            <w:r>
              <w:t xml:space="preserve">Notas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2026-05-09</w:t>
            </w:r>
          </w:p>
        </w:tc>
        <w:tc>
          <w:tcPr/>
          <w:p>
            <w:pPr>
              <w:pStyle w:val="Compact"/>
            </w:pPr>
            <w:r>
              <w:t xml:space="preserve">Engenharia QDI</w:t>
            </w:r>
          </w:p>
        </w:tc>
        <w:tc>
          <w:tcPr/>
          <w:p>
            <w:pPr>
              <w:pStyle w:val="Compact"/>
            </w:pPr>
            <w:r>
              <w:t xml:space="preserve">Versão inicial para encadeamento S-02/S-03 (documentação LGPD).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2026-05-11</w:t>
            </w:r>
          </w:p>
        </w:tc>
        <w:tc>
          <w:tcPr/>
          <w:p>
            <w:pPr>
              <w:pStyle w:val="Compact"/>
            </w:pPr>
            <w:r>
              <w:t xml:space="preserve">Engenharia QDI</w:t>
            </w:r>
          </w:p>
        </w:tc>
        <w:tc>
          <w:tcPr/>
          <w:p>
            <w:pPr>
              <w:pStyle w:val="Compact"/>
            </w:pPr>
            <w:r>
              <w:t xml:space="preserve">Registo de</w:t>
            </w:r>
            <w:r>
              <w:t xml:space="preserve"> </w:t>
            </w:r>
            <w:r>
              <w:rPr>
                <w:b/>
                <w:bCs/>
              </w:rPr>
              <w:t xml:space="preserve">subprocessadores</w:t>
            </w:r>
            <w:r>
              <w:t xml:space="preserve"> </w:t>
            </w:r>
            <w:r>
              <w:t xml:space="preserve">de infraestrutura (Supabase, Sentry, e-mail transaccional, LLM em produção conforme ADR-003) deve constar do</w:t>
            </w:r>
            <w:r>
              <w:t xml:space="preserve"> </w:t>
            </w:r>
            <w:r>
              <w:rPr>
                <w:b/>
                <w:bCs/>
              </w:rPr>
              <w:t xml:space="preserve">Anexo de subprocessadores</w:t>
            </w:r>
            <w:r>
              <w:t xml:space="preserve"> </w:t>
            </w:r>
            <w:r>
              <w:t xml:space="preserve">aprovado pelo DPO; este RAT referencia</w:t>
            </w:r>
            <w:r>
              <w:t xml:space="preserve"> </w:t>
            </w:r>
            <w:r>
              <w:rPr>
                <w:rStyle w:val="VerbatimChar"/>
              </w:rPr>
              <w:t xml:space="preserve">docs/legal/BASES_LEGAIS_TRATAMENTO.md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docs/operacao/RETENCAO_DADOS.md</w:t>
            </w:r>
            <w:r>
              <w:t xml:space="preserve"> </w:t>
            </w:r>
            <w:r>
              <w:t xml:space="preserve">como rastreio técnico.</w:t>
            </w:r>
          </w:p>
        </w:tc>
      </w:tr>
    </w:tbl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RAT - Relatório de Avaliação de Tratamento - QDI</dc:title>
  <dc:creator/>
  <cp:keywords/>
  <dcterms:created xsi:type="dcterms:W3CDTF">2026-05-13T20:04:10Z</dcterms:created>
  <dcterms:modified xsi:type="dcterms:W3CDTF">2026-05-13T20:04:10Z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