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SOP - Direitos do titular LGPD - QDI</w:t>
      </w:r>
    </w:p>
    <w:bookmarkStart w:id="14" w:name="Xe9714ab6a0a08cb06f2cd9a17786dfde4b9fd10"/>
    <w:p>
      <w:pPr>
        <w:pStyle w:val="Heading1"/>
      </w:pPr>
      <w:r>
        <w:t xml:space="preserve">SOP — Atendimento a direitos do titular (Lei 13.709/2018 art. 18)</w:t>
      </w:r>
    </w:p>
    <w:p>
      <w:pPr>
        <w:pStyle w:val="BlockText"/>
      </w:pPr>
      <w:r>
        <w:rPr>
          <w:b/>
          <w:bCs/>
        </w:rPr>
        <w:t xml:space="preserve">RASCUNHO</w:t>
      </w:r>
      <w:r>
        <w:t xml:space="preserve"> </w:t>
      </w:r>
      <w:r>
        <w:t xml:space="preserve">— rever com</w:t>
      </w:r>
      <w:r>
        <w:t xml:space="preserve"> </w:t>
      </w:r>
      <w:r>
        <w:rPr>
          <w:b/>
          <w:bCs/>
        </w:rPr>
        <w:t xml:space="preserve">DPO / jurídico</w:t>
      </w:r>
      <w:r>
        <w:t xml:space="preserve"> </w:t>
      </w:r>
      <w:r>
        <w:t xml:space="preserve">antes de uso operacional com titulares reais.</w:t>
      </w:r>
    </w:p>
    <w:bookmarkStart w:id="9" w:name="direitos-cobertos-art.-18"/>
    <w:p>
      <w:pPr>
        <w:pStyle w:val="Heading2"/>
      </w:pPr>
      <w:r>
        <w:t xml:space="preserve">Direitos cobertos (art. 18)</w:t>
      </w:r>
    </w:p>
    <w:p>
      <w:pPr>
        <w:pStyle w:val="FirstParagraph"/>
      </w:pPr>
      <w:r>
        <w:t xml:space="preserve">Confirmação, acesso, correção, anonimização/bloqueio/eliminação, portabilidade, eliminação de dados tratados com consentimento, informação sobre compartilhamentos e sobre consequências da negativa, revogação de consentimento (incisos I a IX).</w:t>
      </w:r>
    </w:p>
    <w:bookmarkEnd w:id="9"/>
    <w:bookmarkStart w:id="10" w:name="canal-oficial"/>
    <w:p>
      <w:pPr>
        <w:pStyle w:val="Heading2"/>
      </w:pPr>
      <w:r>
        <w:t xml:space="preserve">Canal oficial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Encarregado (DPO) — designação provisória (MVP):</w:t>
      </w:r>
      <w:r>
        <w:t xml:space="preserve"> </w:t>
      </w:r>
      <w:r>
        <w:rPr>
          <w:b/>
          <w:bCs/>
        </w:rPr>
        <w:t xml:space="preserve">Allan Marcio</w:t>
      </w:r>
      <w:r>
        <w:t xml:space="preserve">, pessoa física, e-mail</w:t>
      </w:r>
      <w:r>
        <w:t xml:space="preserve"> </w:t>
      </w:r>
      <w:r>
        <w:rPr>
          <w:b/>
          <w:bCs/>
        </w:rPr>
        <w:t xml:space="preserve">allan@tributolab.com.br</w:t>
      </w:r>
      <w:r>
        <w:t xml:space="preserve"> </w:t>
      </w:r>
      <w:r>
        <w:t xml:space="preserve">(PO, 2026-05-13). Espelhado em</w:t>
      </w:r>
      <w:r>
        <w:t xml:space="preserve"> </w:t>
      </w:r>
      <w:r>
        <w:rPr>
          <w:rStyle w:val="VerbatimChar"/>
        </w:rPr>
        <w:t xml:space="preserve">LGPD_DPO_EMAIL</w:t>
      </w:r>
      <w:r>
        <w:t xml:space="preserve"> </w:t>
      </w:r>
      <w:r>
        <w:t xml:space="preserve">(API) e</w:t>
      </w:r>
      <w:r>
        <w:t xml:space="preserve"> </w:t>
      </w:r>
      <w:r>
        <w:rPr>
          <w:rStyle w:val="VerbatimChar"/>
        </w:rPr>
        <w:t xml:space="preserve">NEXT_PUBLIC_LGPD_DPO_EMAIL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NEXT_PUBLIC_LGPD_DPO_NOME</w:t>
      </w:r>
      <w:r>
        <w:t xml:space="preserve"> </w:t>
      </w:r>
      <w:r>
        <w:t xml:space="preserve">(Next — ver</w:t>
      </w:r>
      <w:r>
        <w:t xml:space="preserve"> </w:t>
      </w:r>
      <w:r>
        <w:rPr>
          <w:rStyle w:val="VerbatimChar"/>
        </w:rPr>
        <w:t xml:space="preserve">frontend/.env.example</w:t>
      </w:r>
      <w:r>
        <w:t xml:space="preserve">). Substituir por designação formal definitiva ou DPO externo quando o controlador decidir.</w:t>
      </w:r>
    </w:p>
    <w:p>
      <w:pPr>
        <w:pStyle w:val="Compact"/>
        <w:numPr>
          <w:ilvl w:val="0"/>
          <w:numId w:val="1001"/>
        </w:numPr>
      </w:pPr>
      <w:r>
        <w:t xml:space="preserve">Prazo legal de resposta:</w:t>
      </w:r>
      <w:r>
        <w:t xml:space="preserve"> </w:t>
      </w:r>
      <w:r>
        <w:rPr>
          <w:b/>
          <w:bCs/>
        </w:rPr>
        <w:t xml:space="preserve">15 dias</w:t>
      </w:r>
      <w:r>
        <w:t xml:space="preserve"> </w:t>
      </w:r>
      <w:r>
        <w:t xml:space="preserve">(art. 19 §1 da Lei 13.709/2018), prorrogável por mais 15 mediante justificativa ao titular.</w:t>
      </w:r>
    </w:p>
    <w:bookmarkEnd w:id="10"/>
    <w:bookmarkStart w:id="11" w:name="fluxo-operacional-resumo"/>
    <w:p>
      <w:pPr>
        <w:pStyle w:val="Heading2"/>
      </w:pPr>
      <w:r>
        <w:t xml:space="preserve">Fluxo operacional (resumo)</w:t>
      </w:r>
    </w:p>
    <w:p>
      <w:pPr>
        <w:pStyle w:val="Compact"/>
        <w:numPr>
          <w:ilvl w:val="0"/>
          <w:numId w:val="1002"/>
        </w:numPr>
      </w:pPr>
      <w:r>
        <w:t xml:space="preserve">Recebimento e registo no ficheiro</w:t>
      </w:r>
      <w:r>
        <w:t xml:space="preserve"> </w:t>
      </w:r>
      <w:r>
        <w:rPr>
          <w:rStyle w:val="VerbatimChar"/>
        </w:rPr>
        <w:t xml:space="preserve">docs/legal/REGISTRO_DIREITOS_TITULAR.csv</w:t>
      </w:r>
      <w:r>
        <w:t xml:space="preserve"> </w:t>
      </w:r>
      <w:r>
        <w:t xml:space="preserve">(cabecalhos: data, tipo_pedido, identificador_interno, estado, responsavel).</w:t>
      </w:r>
    </w:p>
    <w:p>
      <w:pPr>
        <w:pStyle w:val="Compact"/>
        <w:numPr>
          <w:ilvl w:val="0"/>
          <w:numId w:val="1002"/>
        </w:numPr>
      </w:pPr>
      <w:r>
        <w:t xml:space="preserve">Autenticação forte do titular (canal acordado com DPO — não substitui validação jurídica).</w:t>
      </w:r>
    </w:p>
    <w:p>
      <w:pPr>
        <w:pStyle w:val="Compact"/>
        <w:numPr>
          <w:ilvl w:val="0"/>
          <w:numId w:val="1002"/>
        </w:numPr>
      </w:pPr>
      <w:r>
        <w:t xml:space="preserve">Categorização do pedido (I–IX) e execução técnica com</w:t>
      </w:r>
      <w:r>
        <w:t xml:space="preserve"> </w:t>
      </w:r>
      <w:r>
        <w:rPr>
          <w:b/>
          <w:bCs/>
        </w:rPr>
        <w:t xml:space="preserve">mínimo necessário</w:t>
      </w:r>
      <w:r>
        <w:t xml:space="preserve"> </w:t>
      </w:r>
      <w:r>
        <w:t xml:space="preserve">e trilho de auditoria.</w:t>
      </w:r>
    </w:p>
    <w:p>
      <w:pPr>
        <w:pStyle w:val="Compact"/>
        <w:numPr>
          <w:ilvl w:val="0"/>
          <w:numId w:val="1002"/>
        </w:numPr>
      </w:pPr>
      <w:r>
        <w:t xml:space="preserve">Resposta documentada ao titular.</w:t>
      </w:r>
    </w:p>
    <w:p>
      <w:pPr>
        <w:pStyle w:val="Compact"/>
        <w:numPr>
          <w:ilvl w:val="0"/>
          <w:numId w:val="1002"/>
        </w:numPr>
      </w:pPr>
      <w:r>
        <w:t xml:space="preserve">Revisão DPO em pedidos de eliminação quando houver obrigação legal de retenção (ex.: trilhos fiscais).</w:t>
      </w:r>
    </w:p>
    <w:bookmarkEnd w:id="11"/>
    <w:bookmarkStart w:id="12" w:name="exceções-a-documentar"/>
    <w:p>
      <w:pPr>
        <w:pStyle w:val="Heading2"/>
      </w:pPr>
      <w:r>
        <w:t xml:space="preserve">Exceções a documentar</w:t>
      </w:r>
    </w:p>
    <w:p>
      <w:pPr>
        <w:pStyle w:val="Compact"/>
        <w:numPr>
          <w:ilvl w:val="0"/>
          <w:numId w:val="1003"/>
        </w:numPr>
      </w:pPr>
      <w:r>
        <w:t xml:space="preserve">Dados anonimizados (art. 12) e base legal de retenção (ex.: obrigações do CTN / SPED — contexto fiscal do produto).</w:t>
      </w:r>
    </w:p>
    <w:bookmarkEnd w:id="12"/>
    <w:bookmarkStart w:id="13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4"/>
        </w:numPr>
      </w:pPr>
      <w:r>
        <w:t xml:space="preserve">Lei 13.709/2018 — texto integral: https://www.planalto.gov.br/ccivil_03/_ato2015-2018/2018/lei/l13709.htm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_DEVELOPER/DECISAO_EXTERNA/RETENCAO_LOGS_REDACTION.md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_DEVELOPER/DECISAO_EXTERNA/README_PENDENCIAS_GO_LIVE.md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Direitos do titular LGPD - QDI</dc:title>
  <dc:creator/>
  <cp:keywords/>
  <dcterms:created xsi:type="dcterms:W3CDTF">2026-05-13T20:04:10Z</dcterms:created>
  <dcterms:modified xsi:type="dcterms:W3CDTF">2026-05-13T20:04:10Z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