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 jurídico - Termos e Privacidade - QDI</w:t>
      </w:r>
    </w:p>
    <w:bookmarkStart w:id="17" w:name="Xf14ed38b848ad8c3e585d8ccfff8bbd467a1e85"/>
    <w:p>
      <w:pPr>
        <w:pStyle w:val="Heading1"/>
      </w:pPr>
      <w:r>
        <w:t xml:space="preserve">Status jurídico — páginas MVP (termos / privacidade)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registrar o que o repositório cobre e o estado do parecer sobre</w:t>
      </w:r>
      <w:r>
        <w:t xml:space="preserve"> </w:t>
      </w:r>
      <w:r>
        <w:rPr>
          <w:rStyle w:val="VerbatimChar"/>
        </w:rPr>
        <w:t xml:space="preserve">/termos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/privacidade</w:t>
      </w:r>
      <w:r>
        <w:t xml:space="preserve">.</w:t>
      </w:r>
    </w:p>
    <w:bookmarkStart w:id="9" w:name="situação-no-código-2026-05-01"/>
    <w:p>
      <w:pPr>
        <w:pStyle w:val="Heading2"/>
      </w:pPr>
      <w:r>
        <w:t xml:space="preserve">Situação no código (2026-05-01)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frontend/app/termos/page.tsx</w:t>
            </w:r>
          </w:p>
        </w:tc>
        <w:tc>
          <w:tcPr/>
          <w:p>
            <w:pPr>
              <w:pStyle w:val="Compact"/>
            </w:pPr>
            <w:r>
              <w:t xml:space="preserve">Minuta pública;</w:t>
            </w:r>
            <w:r>
              <w:t xml:space="preserve"> </w:t>
            </w:r>
            <w:r>
              <w:rPr>
                <w:b/>
                <w:bCs/>
              </w:rPr>
              <w:t xml:space="preserve">aprovada</w:t>
            </w:r>
            <w:r>
              <w:t xml:space="preserve"> </w:t>
            </w:r>
            <w:r>
              <w:t xml:space="preserve">(parecer externo + aprovação produto — ver abaixo).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frontend/app/privacidade/page.tsx</w:t>
            </w:r>
          </w:p>
        </w:tc>
        <w:tc>
          <w:tcPr/>
          <w:p>
            <w:pPr>
              <w:pStyle w:val="Compact"/>
            </w:pPr>
            <w:r>
              <w:t xml:space="preserve">Política MVP LGPD;</w:t>
            </w:r>
            <w:r>
              <w:t xml:space="preserve"> </w:t>
            </w:r>
            <w:r>
              <w:rPr>
                <w:b/>
                <w:bCs/>
              </w:rPr>
              <w:t xml:space="preserve">aprovada</w:t>
            </w:r>
            <w:r>
              <w:t xml:space="preserve">; secção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#dpo</w:t>
            </w:r>
            <w:r>
              <w:t xml:space="preserve"> </w:t>
            </w:r>
            <w:r>
              <w:t xml:space="preserve">com e-mail via</w:t>
            </w:r>
            <w:r>
              <w:t xml:space="preserve"> </w:t>
            </w:r>
            <w:r>
              <w:rPr>
                <w:rStyle w:val="VerbatimChar"/>
              </w:rPr>
              <w:t xml:space="preserve">NEXT_PUBLIC_LGPD_DPO_*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Aceite técnico persistido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aceite_termos_privacidade_em</w:t>
            </w:r>
            <w:r>
              <w:t xml:space="preserve"> </w:t>
            </w:r>
            <w:r>
              <w:t xml:space="preserve">no POST</w:t>
            </w:r>
            <w:r>
              <w:t xml:space="preserve"> </w:t>
            </w:r>
            <w:r>
              <w:rPr>
                <w:rStyle w:val="VerbatimChar"/>
              </w:rPr>
              <w:t xml:space="preserve">/diagnosticos/</w:t>
            </w:r>
            <w:r>
              <w:t xml:space="preserve"> </w:t>
            </w:r>
            <w:r>
              <w:t xml:space="preserve">(migração</w:t>
            </w:r>
            <w:r>
              <w:t xml:space="preserve"> </w:t>
            </w:r>
            <w:r>
              <w:rPr>
                <w:b/>
                <w:bCs/>
              </w:rPr>
              <w:t xml:space="preserve">0012</w:t>
            </w:r>
            <w:r>
              <w:t xml:space="preserve">)</w:t>
            </w:r>
          </w:p>
        </w:tc>
      </w:tr>
    </w:tbl>
    <w:bookmarkEnd w:id="9"/>
    <w:bookmarkStart w:id="10" w:name="aprovação-produto-controlador"/>
    <w:p>
      <w:pPr>
        <w:pStyle w:val="Heading2"/>
      </w:pPr>
      <w:r>
        <w:t xml:space="preserve">Aprovação produto (controlador)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Aprovada</w:t>
            </w:r>
            <w:r>
              <w:t xml:space="preserve"> </w:t>
            </w:r>
            <w:r>
              <w:t xml:space="preserve">a publicação da minuta veiculada em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/termos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/privacidade</w:t>
            </w:r>
            <w:r>
              <w:t xml:space="preserve">, com implementação dos apontamentos do parecer jurídico e manutenção do texto</w:t>
            </w:r>
            <w:r>
              <w:t xml:space="preserve"> </w:t>
            </w:r>
            <w:r>
              <w:rPr>
                <w:b/>
                <w:bCs/>
              </w:rPr>
              <w:t xml:space="preserve">coerente com a operação</w:t>
            </w:r>
            <w:r>
              <w:t xml:space="preserve"> </w:t>
            </w:r>
            <w:r>
              <w:t xml:space="preserve">(stack, operadores, retenções).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Registo</w:t>
            </w:r>
          </w:p>
        </w:tc>
        <w:tc>
          <w:tcPr/>
          <w:p>
            <w:pPr>
              <w:pStyle w:val="Compact"/>
            </w:pPr>
            <w:r>
              <w:t xml:space="preserve">Allan — produto QualiDiagIQ / Tributiq (controlador).</w:t>
            </w:r>
          </w:p>
        </w:tc>
      </w:tr>
    </w:tbl>
    <w:bookmarkEnd w:id="10"/>
    <w:bookmarkStart w:id="11" w:name="parecer-formal-advogado"/>
    <w:p>
      <w:pPr>
        <w:pStyle w:val="Heading2"/>
      </w:pPr>
      <w:r>
        <w:t xml:space="preserve">Parecer formal (advogado)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Arquivo no repositório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docs/legal/PARECER JURÍDICO - QualiDiagIQ_7242.pdf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Parecer jurídico arquivado em</w:t>
            </w:r>
            <w:r>
              <w:t xml:space="preserve"> </w:t>
            </w:r>
            <w:r>
              <w:rPr>
                <w:rStyle w:val="VerbatimChar"/>
              </w:rPr>
              <w:t xml:space="preserve">docs/legal/</w:t>
            </w:r>
            <w:r>
              <w:t xml:space="preserve"> </w:t>
            </w:r>
            <w:r>
              <w:t xml:space="preserve">(2026-05-07).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Conclusão (advogado)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da minuta</w:t>
            </w:r>
            <w:r>
              <w:t xml:space="preserve"> </w:t>
            </w:r>
            <w:r>
              <w:t xml:space="preserve">de Termos de Uso e Política de Privacidade,</w:t>
            </w:r>
            <w:r>
              <w:t xml:space="preserve"> </w:t>
            </w:r>
            <w:r>
              <w:rPr>
                <w:b/>
                <w:bCs/>
              </w:rPr>
              <w:t xml:space="preserve">desde que</w:t>
            </w:r>
            <w:r>
              <w:t xml:space="preserve"> </w:t>
            </w:r>
            <w:r>
              <w:t xml:space="preserve">sejam considerados os ajustes indicados no parecer e que o texto publicado permaneça</w:t>
            </w:r>
            <w:r>
              <w:t xml:space="preserve"> </w:t>
            </w:r>
            <w:r>
              <w:rPr>
                <w:b/>
                <w:bCs/>
              </w:rPr>
              <w:t xml:space="preserve">compatível com a operação real</w:t>
            </w:r>
            <w:r>
              <w:t xml:space="preserve"> </w:t>
            </w:r>
            <w:r>
              <w:t xml:space="preserve">(arquitetura, operadores, fluxo de dados). Cfr. itens 21–23 do PDF (Maceió/AL, 5 de maio de 2026).</w:t>
            </w:r>
          </w:p>
        </w:tc>
      </w:tr>
    </w:tbl>
    <w:p>
      <w:pPr>
        <w:pStyle w:val="BodyText"/>
      </w:pPr>
      <w:r>
        <w:t xml:space="preserve">Substituir ou acrescentar PDF se houver nova versão assinada; manter este</w:t>
      </w:r>
      <w:r>
        <w:t xml:space="preserve"> </w:t>
      </w:r>
      <w:r>
        <w:rPr>
          <w:rStyle w:val="VerbatimChar"/>
        </w:rPr>
        <w:t xml:space="preserve">STATUS_*</w:t>
      </w:r>
      <w:r>
        <w:t xml:space="preserve"> </w:t>
      </w:r>
      <w:r>
        <w:t xml:space="preserve">alinhado ao ficheiro vigente.</w:t>
      </w:r>
    </w:p>
    <w:bookmarkEnd w:id="11"/>
    <w:bookmarkStart w:id="12" w:name="canal-dpo-implementação-técnica"/>
    <w:p>
      <w:pPr>
        <w:pStyle w:val="Heading2"/>
      </w:pPr>
      <w:r>
        <w:t xml:space="preserve">Canal DPO (implementação técnica)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https://&lt;site&gt;/privacidade#dpo</w:t>
            </w:r>
            <w:r>
              <w:t xml:space="preserve"> </w:t>
            </w:r>
            <w:r>
              <w:t xml:space="preserve">(âncora</w:t>
            </w:r>
            <w:r>
              <w:t xml:space="preserve"> </w:t>
            </w:r>
            <w:r>
              <w:rPr>
                <w:rStyle w:val="VerbatimChar"/>
              </w:rPr>
              <w:t xml:space="preserve">id="dpo"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NEXT_PUBLIC_LGPD_DPO_EMAIL</w:t>
            </w:r>
            <w:r>
              <w:t xml:space="preserve"> </w:t>
            </w:r>
            <w:r>
              <w:t xml:space="preserve">(obrigatório para exibir o mailto); opcional</w:t>
            </w:r>
            <w:r>
              <w:t xml:space="preserve"> </w:t>
            </w:r>
            <w:r>
              <w:rPr>
                <w:rStyle w:val="VerbatimChar"/>
              </w:rPr>
              <w:t xml:space="preserve">NEXT_PUBLIC_LGPD_DPO_NOME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NEXT_PUBLIC_POLITICA_PRIVACIDADE_VERSAO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NEXT_PUBLIC_POLITICA_PRIVACIDADE_VIGENCIA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 institucional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(2026-05-13):</w:t>
            </w:r>
            <w:r>
              <w:t xml:space="preserve"> </w:t>
            </w:r>
            <w:r>
              <w:t xml:space="preserve">encarregado provisório</w:t>
            </w:r>
            <w:r>
              <w:t xml:space="preserve"> </w:t>
            </w:r>
            <w:r>
              <w:rPr>
                <w:b/>
                <w:bCs/>
              </w:rPr>
              <w:t xml:space="preserve">Allan Marcio</w:t>
            </w:r>
            <w:r>
              <w:t xml:space="preserve"> </w:t>
            </w:r>
            <w:r>
              <w:t xml:space="preserve">(pessoa física), e-mail</w:t>
            </w:r>
            <w:r>
              <w:t xml:space="preserve"> </w:t>
            </w:r>
            <w:r>
              <w:rPr>
                <w:b/>
                <w:bCs/>
              </w:rPr>
              <w:t xml:space="preserve">allan@tributolab.com.br</w:t>
            </w:r>
            <w:r>
              <w:t xml:space="preserve">, em</w:t>
            </w:r>
            <w:r>
              <w:t xml:space="preserve"> </w:t>
            </w:r>
            <w:r>
              <w:rPr>
                <w:rStyle w:val="VerbatimChar"/>
              </w:rPr>
              <w:t xml:space="preserve">frontend/.env.example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frontend/.env.production.example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(serviço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) e default de</w:t>
            </w:r>
            <w:r>
              <w:t xml:space="preserve"> </w:t>
            </w:r>
            <w:r>
              <w:rPr>
                <w:rStyle w:val="VerbatimChar"/>
              </w:rPr>
              <w:t xml:space="preserve">LGPD_DPO_EMAIL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. Substituir se o controlador nomear outro DPO ou domínio institucional definitivo.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(paridade)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/public/institucional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lgpd_dpo_email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lgpd_retencao_referencia_dias</w:t>
            </w:r>
            <w:r>
              <w:t xml:space="preserve">, caminho</w:t>
            </w:r>
            <w:r>
              <w:t xml:space="preserve"> </w:t>
            </w:r>
            <w:r>
              <w:rPr>
                <w:rStyle w:val="VerbatimChar"/>
              </w:rPr>
              <w:t xml:space="preserve">/privacidade/solicitacoes</w:t>
            </w:r>
          </w:p>
        </w:tc>
      </w:tr>
    </w:tbl>
    <w:bookmarkEnd w:id="12"/>
    <w:bookmarkStart w:id="13" w:name="X19ea10ef8a1fc051413441c9b43167ab006899b"/>
    <w:p>
      <w:pPr>
        <w:pStyle w:val="Heading2"/>
      </w:pPr>
      <w:r>
        <w:t xml:space="preserve">Designação do encarregado (registo PO — 2026-05-13)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Allan Marcio (pessoa física).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Encarregado de Proteção de Dados (DPO)</w:t>
      </w:r>
      <w:r>
        <w:t xml:space="preserve"> </w:t>
      </w:r>
      <w:r>
        <w:rPr>
          <w:b/>
          <w:bCs/>
        </w:rPr>
        <w:t xml:space="preserve">provisório</w:t>
      </w:r>
      <w:r>
        <w:t xml:space="preserve">, até designação formal em acto societário / contrato de prestação de serviços ou nomeação de DPO externo.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Canal:</w:t>
      </w:r>
      <w:r>
        <w:t xml:space="preserve"> </w:t>
      </w:r>
      <w:r>
        <w:rPr>
          <w:b/>
          <w:bCs/>
        </w:rPr>
        <w:t xml:space="preserve">allan@tributolab.com.br</w:t>
      </w:r>
      <w:r>
        <w:t xml:space="preserve"> </w:t>
      </w:r>
      <w:r>
        <w:t xml:space="preserve">(deve coincidir com</w:t>
      </w:r>
      <w:r>
        <w:t xml:space="preserve"> </w:t>
      </w:r>
      <w:r>
        <w:rPr>
          <w:rStyle w:val="VerbatimChar"/>
        </w:rPr>
        <w:t xml:space="preserve">NEXT_PUBLIC_LGPD_DPO_EMAIL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LGPD_DPO_EMAIL</w:t>
      </w:r>
      <w:r>
        <w:t xml:space="preserve"> </w:t>
      </w:r>
      <w:r>
        <w:t xml:space="preserve">em produção).</w:t>
      </w:r>
    </w:p>
    <w:bookmarkEnd w:id="13"/>
    <w:bookmarkStart w:id="15" w:name="X881ff05b710de7a354f282f5d60f560ca0c5fc7"/>
    <w:p>
      <w:pPr>
        <w:pStyle w:val="Heading2"/>
      </w:pPr>
      <w:r>
        <w:t xml:space="preserve">Pendências operacionais (não substituem o parecer)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Produção:</w:t>
      </w:r>
      <w:r>
        <w:t xml:space="preserve"> </w:t>
      </w:r>
      <w:r>
        <w:t xml:space="preserve">confirmar que o e-mail exibido é o</w:t>
      </w:r>
      <w:r>
        <w:t xml:space="preserve"> </w:t>
      </w:r>
      <w:r>
        <w:rPr>
          <w:b/>
          <w:bCs/>
        </w:rPr>
        <w:t xml:space="preserve">canal oficial</w:t>
      </w:r>
      <w:r>
        <w:t xml:space="preserve"> </w:t>
      </w:r>
      <w:r>
        <w:t xml:space="preserve">do encarregado nomeado (Res. ANPD nº 18/2024) e alterar variáveis de deploy se divergirem deste registo provisório.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Versão publicada</w:t>
      </w:r>
      <w:r>
        <w:t xml:space="preserve"> </w:t>
      </w:r>
      <w:r>
        <w:t xml:space="preserve">— opcional:</w:t>
      </w:r>
      <w:r>
        <w:t xml:space="preserve"> </w:t>
      </w:r>
      <w:r>
        <w:rPr>
          <w:rStyle w:val="VerbatimChar"/>
        </w:rPr>
        <w:t xml:space="preserve">NEXT_PUBLIC_POLITICA_PRIVACIDADE_VERSAO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_VIGENCIA</w:t>
      </w:r>
      <w:r>
        <w:t xml:space="preserve">; ou registo só no changelog interno.</w:t>
      </w:r>
    </w:p>
    <w:bookmarkStart w:id="14" w:name="Xae954f253644b3169f13c0bc465902acc0a8151"/>
    <w:p>
      <w:pPr>
        <w:pStyle w:val="Heading3"/>
      </w:pPr>
      <w:r>
        <w:t xml:space="preserve">Retenção do telefone (baseline controlador — 2026-05)</w:t>
      </w:r>
    </w:p>
    <w:p>
      <w:pPr>
        <w:pStyle w:val="FirstParagraph"/>
      </w:pPr>
      <w:r>
        <w:t xml:space="preserve">O fluxo de pedidos tramita pelo DPO (</w:t>
      </w:r>
      <w:r>
        <w:rPr>
          <w:rStyle w:val="VerbatimChar"/>
        </w:rPr>
        <w:t xml:space="preserve">/privacidade#dpo</w:t>
      </w:r>
      <w:r>
        <w:t xml:space="preserve">) e pela API autenticada</w:t>
      </w:r>
      <w:r>
        <w:t xml:space="preserve"> </w:t>
      </w:r>
      <w:r>
        <w:rPr>
          <w:rStyle w:val="VerbatimChar"/>
        </w:rPr>
        <w:t xml:space="preserve">POST /privacidade/solicitacoes</w:t>
      </w:r>
      <w:r>
        <w:t xml:space="preserve"> </w:t>
      </w:r>
      <w:r>
        <w:t xml:space="preserve">(vide</w:t>
      </w:r>
      <w:r>
        <w:t xml:space="preserve"> </w:t>
      </w:r>
      <w:r>
        <w:rPr>
          <w:rStyle w:val="VerbatimChar"/>
        </w:rPr>
        <w:t xml:space="preserve">tests/integration/test_privacidade_api.py</w:t>
      </w:r>
      <w:r>
        <w:t xml:space="preserve">). A secção</w:t>
      </w:r>
      <w:r>
        <w:t xml:space="preserve"> </w:t>
      </w:r>
      <w:r>
        <w:rPr>
          <w:rStyle w:val="VerbatimChar"/>
          <w:b/>
          <w:bCs/>
        </w:rPr>
        <w:t xml:space="preserve">#retencao-telefone</w:t>
      </w:r>
      <w:r>
        <w:t xml:space="preserve"> </w:t>
      </w:r>
      <w:r>
        <w:t xml:space="preserve">na página</w:t>
      </w:r>
      <w:r>
        <w:t xml:space="preserve"> </w:t>
      </w:r>
      <w:r>
        <w:rPr>
          <w:rStyle w:val="VerbatimChar"/>
        </w:rPr>
        <w:t xml:space="preserve">/privacidade</w:t>
      </w:r>
      <w:r>
        <w:t xml:space="preserve"> </w:t>
      </w:r>
      <w:r>
        <w:t xml:space="preserve">descreve o enquadramento para equipas operacionais; prazos de SLA de resposta ao titular seguem política interna do controlador.</w:t>
      </w:r>
    </w:p>
    <w:bookmarkEnd w:id="14"/>
    <w:bookmarkEnd w:id="15"/>
    <w:bookmarkStart w:id="16" w:name="X250907ba3e84b981b85a5e0aa1e54f2f80b7c8c"/>
    <w:p>
      <w:pPr>
        <w:pStyle w:val="Heading2"/>
      </w:pPr>
      <w:r>
        <w:t xml:space="preserve">Critério de aceite para “jurídico OK” no checklist MVP</w:t>
      </w:r>
    </w:p>
    <w:p>
      <w:pPr>
        <w:pStyle w:val="Compact"/>
        <w:numPr>
          <w:ilvl w:val="0"/>
          <w:numId w:val="1003"/>
        </w:numPr>
      </w:pPr>
      <w:r>
        <w:t xml:space="preserve">Parecer formal arquivado referenciando as páginas de termos e privacidade — ver PDF na pasta</w:t>
      </w:r>
      <w:r>
        <w:t xml:space="preserve"> </w:t>
      </w:r>
      <w:r>
        <w:rPr>
          <w:rStyle w:val="VerbatimChar"/>
        </w:rPr>
        <w:t xml:space="preserve">docs/legal/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Registro em</w:t>
      </w:r>
      <w:r>
        <w:t xml:space="preserve"> </w:t>
      </w:r>
      <w:r>
        <w:rPr>
          <w:rStyle w:val="VerbatimChar"/>
        </w:rPr>
        <w:t xml:space="preserve">docs/CHANGELOG_MVP.md</w:t>
      </w:r>
      <w:r>
        <w:t xml:space="preserve"> </w:t>
      </w:r>
      <w:r>
        <w:t xml:space="preserve">(</w:t>
      </w:r>
      <w:r>
        <w:rPr>
          <w:b/>
          <w:bCs/>
        </w:rPr>
        <w:t xml:space="preserve">[Unreleased]</w:t>
      </w:r>
      <w:r>
        <w:t xml:space="preserve"> </w:t>
      </w:r>
      <w:r>
        <w:t xml:space="preserve">2026-05-07 — entrada jurídico). Copiar para linha datada do release quando existir tag semver de produto.</w:t>
      </w:r>
    </w:p>
    <w:p>
      <w:pPr>
        <w:pStyle w:val="FirstParagraph"/>
      </w:pPr>
      <w:r>
        <w:rPr>
          <w:b/>
          <w:bCs/>
        </w:rPr>
        <w:t xml:space="preserve">Base legal de referência:</w:t>
      </w:r>
      <w:r>
        <w:t xml:space="preserve"> </w:t>
      </w:r>
      <w:r>
        <w:t xml:space="preserve">LGPD (Lei 13.709/2018); Marco Civil (Lei 12.965/2014) quando aplicável ao site/saas.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jurídico - Termos e Privacidade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