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Pendências legais de go-live - QDI</w:t>
      </w:r>
    </w:p>
    <w:bookmarkStart w:id="10" w:name="pendências-legais-go-live-qdi"/>
    <w:p>
      <w:pPr>
        <w:pStyle w:val="Heading1"/>
      </w:pPr>
      <w:r>
        <w:t xml:space="preserve">Pendências legais — go-live QDI</w:t>
      </w:r>
    </w:p>
    <w:p>
      <w:pPr>
        <w:pStyle w:val="BlockText"/>
      </w:pPr>
      <w:r>
        <w:t xml:space="preserve">Este ficheiro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substitui parecer jurídico. Indica apenas o que o pacote de go-live público deve conter, alinhado a</w:t>
      </w:r>
      <w:r>
        <w:t xml:space="preserve"> </w:t>
      </w:r>
      <w:r>
        <w:rPr>
          <w:rStyle w:val="VerbatimChar"/>
        </w:rPr>
        <w:t xml:space="preserve">_DEVELOPER/DECISAO_EXTERNA/DECISOES_RECOMENDADAS_GO_LIVE_2026-05-13.md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Calendário PO:</w:t>
      </w:r>
      <w:r>
        <w:t xml:space="preserve"> </w:t>
      </w:r>
      <w:r>
        <w:t xml:space="preserve">data-alvo de produção</w:t>
      </w:r>
      <w:r>
        <w:t xml:space="preserve"> </w:t>
      </w:r>
      <w:r>
        <w:rPr>
          <w:b/>
          <w:bCs/>
        </w:rPr>
        <w:t xml:space="preserve">2026-06-15</w:t>
      </w:r>
      <w:r>
        <w:t xml:space="preserve"> </w:t>
      </w:r>
      <w:r>
        <w:t xml:space="preserve">(15/06/2026),</w:t>
      </w:r>
      <w:r>
        <w:t xml:space="preserve"> </w:t>
      </w:r>
      <w:r>
        <w:rPr>
          <w:b/>
          <w:bCs/>
        </w:rPr>
        <w:t xml:space="preserve">condicionada</w:t>
      </w:r>
      <w:r>
        <w:t xml:space="preserve"> </w:t>
      </w:r>
      <w:r>
        <w:t xml:space="preserve">ao gate §5 do checklist — jurídico/ops/QA devem fechar pendências com tempo útil antes dessa data.</w:t>
      </w:r>
    </w:p>
    <w:p>
      <w:pPr>
        <w:pStyle w:val="BodyText"/>
      </w:pPr>
      <w:r>
        <w:rPr>
          <w:b/>
          <w:bCs/>
        </w:rPr>
        <w:t xml:space="preserve">Eng (2026-05-13):</w:t>
      </w:r>
      <w:r>
        <w:t xml:space="preserve"> </w:t>
      </w:r>
      <w:r>
        <w:t xml:space="preserve">supply chain frontend alinhada a</w:t>
      </w:r>
      <w:r>
        <w:t xml:space="preserve"> </w:t>
      </w:r>
      <w:r>
        <w:rPr>
          <w:b/>
          <w:bCs/>
        </w:rPr>
        <w:t xml:space="preserve">ADR-016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audit --omit=dev --audit-level=high</w:t>
      </w:r>
      <w:r>
        <w:t xml:space="preserve"> </w:t>
      </w:r>
      <w:r>
        <w:t xml:space="preserve">verde; Next</w:t>
      </w:r>
      <w:r>
        <w:t xml:space="preserve"> </w:t>
      </w:r>
      <w:r>
        <w:rPr>
          <w:b/>
          <w:bCs/>
        </w:rPr>
        <w:t xml:space="preserve">15.5.18</w:t>
      </w:r>
      <w:r>
        <w:t xml:space="preserve">) — detalhe em</w:t>
      </w:r>
      <w:r>
        <w:t xml:space="preserve"> </w:t>
      </w:r>
      <w:r>
        <w:rPr>
          <w:rStyle w:val="VerbatimChar"/>
        </w:rPr>
        <w:t xml:space="preserve">_DEVELOPER/DECISAO_EXTERNA/PENDENCIA_UPGRADE_NEXT14.md</w:t>
      </w:r>
      <w:r>
        <w:t xml:space="preserve">.</w:t>
      </w:r>
    </w:p>
    <w:bookmarkStart w:id="9" w:name="artefatos-a-produzir-com-dpo-jurídico"/>
    <w:p>
      <w:pPr>
        <w:pStyle w:val="Heading2"/>
      </w:pPr>
      <w:r>
        <w:t xml:space="preserve">Artefatos a produzir com DPO / jurídico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5016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Ficheiro esperado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docs/legal/BASES_LEGAIS_TRATAMENTO.md</w:t>
            </w:r>
          </w:p>
        </w:tc>
        <w:tc>
          <w:tcPr/>
          <w:p>
            <w:pPr>
              <w:pStyle w:val="Compact"/>
            </w:pPr>
            <w:r>
              <w:t xml:space="preserve">Dado × finalidade × base legal × retenção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docs/legal/RAT.md</w:t>
            </w:r>
          </w:p>
        </w:tc>
        <w:tc>
          <w:tcPr/>
          <w:p>
            <w:pPr>
              <w:pStyle w:val="Compact"/>
            </w:pPr>
            <w:r>
              <w:t xml:space="preserve">Subprocessadores e transferências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H-030</w:t>
            </w:r>
          </w:p>
        </w:tc>
        <w:tc>
          <w:tcPr/>
          <w:p>
            <w:pPr>
              <w:pStyle w:val="Compact"/>
            </w:pPr>
            <w:r>
              <w:t xml:space="preserve">RIPD (PDF ou registo interno)</w:t>
            </w:r>
          </w:p>
        </w:tc>
        <w:tc>
          <w:tcPr/>
          <w:p>
            <w:pPr>
              <w:pStyle w:val="Compact"/>
            </w:pPr>
            <w:r>
              <w:t xml:space="preserve">Assinado pelo DPO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H-031</w:t>
            </w:r>
          </w:p>
        </w:tc>
        <w:tc>
          <w:tcPr/>
          <w:p>
            <w:pPr>
              <w:pStyle w:val="Compact"/>
            </w:pPr>
            <w:r>
              <w:t xml:space="preserve">Designação formal de DPO</w:t>
            </w:r>
          </w:p>
        </w:tc>
        <w:tc>
          <w:tcPr/>
          <w:p>
            <w:pPr>
              <w:pStyle w:val="Compact"/>
            </w:pPr>
            <w:r>
              <w:t xml:space="preserve">Ato ou 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docs/legal/SOP_DIREITOS_TITULAR_LGPD.md</w:t>
            </w:r>
          </w:p>
        </w:tc>
        <w:tc>
          <w:tcPr/>
          <w:p>
            <w:pPr>
              <w:pStyle w:val="Compact"/>
            </w:pPr>
            <w:r>
              <w:t xml:space="preserve">Rascunho operacional art. 18 —</w:t>
            </w:r>
            <w:r>
              <w:t xml:space="preserve"> </w:t>
            </w:r>
            <w:r>
              <w:rPr>
                <w:b/>
                <w:bCs/>
              </w:rPr>
              <w:t xml:space="preserve">rever com DPO</w:t>
            </w:r>
            <w:r>
              <w:t xml:space="preserve"> </w:t>
            </w:r>
            <w:r>
              <w:t xml:space="preserve">antes de tráfego com titulares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Designação do encarregado (DPO) — registo PO 2026-05-13:</w:t>
      </w:r>
      <w:r>
        <w:t xml:space="preserve"> </w:t>
      </w:r>
      <w:r>
        <w:rPr>
          <w:b/>
          <w:bCs/>
        </w:rPr>
        <w:t xml:space="preserve">Allan Marcio</w:t>
      </w:r>
      <w:r>
        <w:t xml:space="preserve"> </w:t>
      </w:r>
      <w:r>
        <w:t xml:space="preserve">(pessoa física), e-mail</w:t>
      </w:r>
      <w:r>
        <w:t xml:space="preserve"> </w:t>
      </w:r>
      <w:r>
        <w:rPr>
          <w:b/>
          <w:bCs/>
        </w:rPr>
        <w:t xml:space="preserve">allan@tributolab.com.br</w:t>
      </w:r>
      <w:r>
        <w:t xml:space="preserve">,</w:t>
      </w:r>
      <w:r>
        <w:t xml:space="preserve"> </w:t>
      </w:r>
      <w:r>
        <w:rPr>
          <w:b/>
          <w:bCs/>
        </w:rPr>
        <w:t xml:space="preserve">provisório</w:t>
      </w:r>
      <w:r>
        <w:t xml:space="preserve"> </w:t>
      </w:r>
      <w:r>
        <w:t xml:space="preserve">até acto formal / DPO externo. Espelhar em</w:t>
      </w:r>
      <w:r>
        <w:t xml:space="preserve"> </w:t>
      </w:r>
      <w:r>
        <w:rPr>
          <w:rStyle w:val="VerbatimChar"/>
        </w:rPr>
        <w:t xml:space="preserve">LGPD_DPO_EMAIL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NEXT_PUBLIC_LGPD_DPO_*</w:t>
      </w:r>
      <w:r>
        <w:t xml:space="preserve">. O item</w:t>
      </w:r>
      <w:r>
        <w:t xml:space="preserve"> </w:t>
      </w:r>
      <w:r>
        <w:rPr>
          <w:b/>
          <w:bCs/>
        </w:rPr>
        <w:t xml:space="preserve">H-031</w:t>
      </w:r>
      <w:r>
        <w:t xml:space="preserve"> </w:t>
      </w:r>
      <w:r>
        <w:t xml:space="preserve">(ato formal) continua recomendado quando a sociedade ou o volume de tratamento o exigir.</w:t>
      </w:r>
    </w:p>
    <w:p>
      <w:pPr>
        <w:pStyle w:val="BodyText"/>
      </w:pPr>
      <w:r>
        <w:t xml:space="preserve">Quando cada artefato existir, atualizar</w:t>
      </w:r>
      <w:r>
        <w:t xml:space="preserve"> </w:t>
      </w:r>
      <w:r>
        <w:rPr>
          <w:rStyle w:val="VerbatimChar"/>
        </w:rPr>
        <w:t xml:space="preserve">_DEVELOPER/DECISAO_EXTERNA/CHECKLIST_DECISOES_GO_LIVE.md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_DEVELOPER/DECISAO_EXTERNA/ATA_DECISAO_GO_LIVE_2026-05-13.md</w:t>
      </w:r>
      <w:r>
        <w:t xml:space="preserve">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Pendências legais de go-live - QDI</dc:title>
  <dc:creator/>
  <cp:keywords/>
  <dcterms:created xsi:type="dcterms:W3CDTF">2026-05-13T20:04:11Z</dcterms:created>
  <dcterms:modified xsi:type="dcterms:W3CDTF">2026-05-13T20:04:11Z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