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Retenção de logs e redaction de PII - QDI</w:t>
      </w:r>
    </w:p>
    <w:bookmarkStart w:id="14" w:name="retenção-de-logs-e-redaction-de-pii-qdi"/>
    <w:p>
      <w:pPr>
        <w:pStyle w:val="Heading1"/>
      </w:pPr>
      <w:r>
        <w:t xml:space="preserve">Retenção de logs e redaction de PII — QDI</w:t>
      </w:r>
    </w:p>
    <w:p>
      <w:pPr>
        <w:pStyle w:val="BlockText"/>
      </w:pPr>
      <w:r>
        <w:rPr>
          <w:b/>
          <w:bCs/>
        </w:rPr>
        <w:t xml:space="preserve">QDI-H-015</w:t>
      </w:r>
      <w:r>
        <w:t xml:space="preserve"> </w:t>
      </w:r>
      <w:r>
        <w:t xml:space="preserve">— política mínima antes de tráfego público (</w:t>
      </w:r>
      <w:r>
        <w:rPr>
          <w:rStyle w:val="VerbatimChar"/>
        </w:rPr>
        <w:t xml:space="preserve">_DEVELOPER/DECISAO_EXTERNA/DECISOES_RECOMENDADAS_GO_LIVE_2026-05-13.md</w:t>
      </w:r>
      <w:r>
        <w:t xml:space="preserve">).</w:t>
      </w:r>
      <w:r>
        <w:br/>
      </w:r>
      <w:r>
        <w:t xml:space="preserve">Ratificação formal com DPO deve ocorrer</w:t>
      </w:r>
      <w:r>
        <w:t xml:space="preserve"> </w:t>
      </w:r>
      <w:r>
        <w:rPr>
          <w:b/>
          <w:bCs/>
        </w:rPr>
        <w:t xml:space="preserve">em paralelo</w:t>
      </w:r>
      <w:r>
        <w:t xml:space="preserve"> </w:t>
      </w:r>
      <w:r>
        <w:t xml:space="preserve">ao go-live; os números abaixo são baseline MVP para engenharia e operações.</w:t>
      </w:r>
    </w:p>
    <w:bookmarkStart w:id="9" w:name="princípios"/>
    <w:p>
      <w:pPr>
        <w:pStyle w:val="Heading2"/>
      </w:pPr>
      <w:r>
        <w:t xml:space="preserve">Princípios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Minimização:</w:t>
      </w:r>
      <w:r>
        <w:t xml:space="preserve"> </w:t>
      </w:r>
      <w:r>
        <w:t xml:space="preserve">não registar PII em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sem necessidade operacional; preferir IDs e hashes.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Redaction em observabilidade:</w:t>
      </w:r>
      <w:r>
        <w:t xml:space="preserve"> </w:t>
      </w:r>
      <w:r>
        <w:t xml:space="preserve">Sentry com</w:t>
      </w:r>
      <w:r>
        <w:t xml:space="preserve"> </w:t>
      </w:r>
      <w:r>
        <w:rPr>
          <w:rStyle w:val="VerbatimChar"/>
        </w:rPr>
        <w:t xml:space="preserve">before_send</w:t>
      </w:r>
      <w:r>
        <w:t xml:space="preserve"> </w:t>
      </w:r>
      <w:r>
        <w:t xml:space="preserve">na API (</w:t>
      </w:r>
      <w:r>
        <w:rPr>
          <w:rStyle w:val="VerbatimChar"/>
        </w:rPr>
        <w:t xml:space="preserve">src/presentation/api/main.py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_sentry_scrub_pii</w:t>
      </w:r>
      <w:r>
        <w:t xml:space="preserve">) e no browser (</w:t>
      </w:r>
      <w:r>
        <w:rPr>
          <w:rStyle w:val="VerbatimChar"/>
        </w:rPr>
        <w:t xml:space="preserve">frontend/lib/observability/sentry_scrub.ts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sentryBrowserBeforeSend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AppProviders</w:t>
      </w:r>
      <w:r>
        <w:t xml:space="preserve">, tipos</w:t>
      </w:r>
      <w:r>
        <w:t xml:space="preserve"> </w:t>
      </w:r>
      <w:r>
        <w:rPr>
          <w:rStyle w:val="VerbatimChar"/>
        </w:rPr>
        <w:t xml:space="preserve">ErrorEvent</w:t>
      </w:r>
      <w:r>
        <w:t xml:space="preserve">/</w:t>
      </w:r>
      <w:r>
        <w:rPr>
          <w:rStyle w:val="VerbatimChar"/>
        </w:rPr>
        <w:t xml:space="preserve">EventHint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2026-05-13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Correlação: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/ W3C Trace Context — ver</w:t>
      </w:r>
      <w:r>
        <w:t xml:space="preserve"> </w:t>
      </w:r>
      <w:r>
        <w:rPr>
          <w:rStyle w:val="VerbatimChar"/>
        </w:rPr>
        <w:t xml:space="preserve">docs/operacao/EVENTOS_NEGOCIO_LOGS.md</w:t>
      </w:r>
      <w:r>
        <w:t xml:space="preserve">.</w:t>
      </w:r>
    </w:p>
    <w:bookmarkEnd w:id="9"/>
    <w:bookmarkStart w:id="10" w:name="retenção-valores-mvp-refino-2026-05-13"/>
    <w:p>
      <w:pPr>
        <w:pStyle w:val="Heading2"/>
      </w:pPr>
      <w:r>
        <w:t xml:space="preserve">Retenção (valores MVP — refino 2026-05-13)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2445"/>
        <w:gridCol w:w="2911"/>
        <w:gridCol w:w="15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Retenção mínima MVP</w:t>
            </w:r>
          </w:p>
        </w:tc>
        <w:tc>
          <w:tcPr/>
          <w:p>
            <w:pPr>
              <w:pStyle w:val="Compact"/>
            </w:pPr>
            <w:r>
              <w:t xml:space="preserve">Base legal / fundamento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aplicação (info/warn)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Lei 13.709/2018 art. 6º, III e art. 15 (mínimo necessário)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auditoria (security/auth)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dias</w:t>
            </w:r>
          </w:p>
        </w:tc>
        <w:tc>
          <w:tcPr/>
          <w:p>
            <w:pPr>
              <w:pStyle w:val="Compact"/>
            </w:pPr>
            <w:r>
              <w:t xml:space="preserve">Lei 13.709/2018 art. 16, V (defesa em processo)</w:t>
            </w:r>
          </w:p>
        </w:tc>
        <w:tc>
          <w:tcPr/>
          <w:p>
            <w:pPr>
              <w:pStyle w:val="Compact"/>
            </w:pPr>
            <w:r>
              <w:t xml:space="preserve">Ops + 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(com scrub ativo)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dias</w:t>
            </w:r>
          </w:p>
        </w:tc>
        <w:tc>
          <w:tcPr/>
          <w:p>
            <w:pPr>
              <w:pStyle w:val="Compact"/>
            </w:pPr>
            <w:r>
              <w:t xml:space="preserve">Plano comercial Sentry +</w:t>
            </w:r>
            <w:r>
              <w:t xml:space="preserve"> </w:t>
            </w:r>
            <w:r>
              <w:rPr>
                <w:rStyle w:val="VerbatimChar"/>
              </w:rPr>
              <w:t xml:space="preserve">before_send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BD diário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dias rolling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docs/operacao/BACKUP_E_DR.md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Diagnósticos finalizados (WORM)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Indefinido</w:t>
            </w:r>
          </w:p>
        </w:tc>
        <w:tc>
          <w:tcPr/>
          <w:p>
            <w:pPr>
              <w:pStyle w:val="Compact"/>
            </w:pPr>
            <w:r>
              <w:t xml:space="preserve">Imutabilidade de evidências (princípio produto)</w:t>
            </w:r>
          </w:p>
        </w:tc>
        <w:tc>
          <w:tcPr/>
          <w:p>
            <w:pPr>
              <w:pStyle w:val="Compact"/>
            </w:pPr>
            <w:r>
              <w:t xml:space="preserve">Eng + 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Diagnósticos rascunho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dias</w:t>
            </w:r>
            <w:r>
              <w:t xml:space="preserve"> </w:t>
            </w:r>
            <w:r>
              <w:t xml:space="preserve">após última edição</w:t>
            </w:r>
          </w:p>
        </w:tc>
        <w:tc>
          <w:tcPr/>
          <w:p>
            <w:pPr>
              <w:pStyle w:val="Compact"/>
            </w:pPr>
            <w:r>
              <w:t xml:space="preserve">Lei 13.709/2018 art. 15, II (fim da finalidade)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</w:tr>
    </w:tbl>
    <w:bookmarkEnd w:id="10"/>
    <w:bookmarkStart w:id="11" w:name="critério-de-revisão"/>
    <w:p>
      <w:pPr>
        <w:pStyle w:val="Heading2"/>
      </w:pPr>
      <w:r>
        <w:t xml:space="preserve">Critério de revisão</w:t>
      </w:r>
    </w:p>
    <w:p>
      <w:pPr>
        <w:pStyle w:val="Compact"/>
        <w:numPr>
          <w:ilvl w:val="0"/>
          <w:numId w:val="1002"/>
        </w:numPr>
      </w:pPr>
      <w:r>
        <w:t xml:space="preserve">Retenções acima são</w:t>
      </w:r>
      <w:r>
        <w:t xml:space="preserve"> </w:t>
      </w:r>
      <w:r>
        <w:rPr>
          <w:b/>
          <w:bCs/>
        </w:rPr>
        <w:t xml:space="preserve">MVP</w:t>
      </w:r>
      <w:r>
        <w:t xml:space="preserve">; revisão obrigatória</w:t>
      </w:r>
      <w:r>
        <w:t xml:space="preserve"> </w:t>
      </w:r>
      <w:r>
        <w:rPr>
          <w:b/>
          <w:bCs/>
        </w:rPr>
        <w:t xml:space="preserve">pós go-live com DPO em 60 dias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Pedido de exclusão do titular (art. 18, VI)</w:t>
      </w:r>
      <w:r>
        <w:t xml:space="preserve"> </w:t>
      </w:r>
      <w:r>
        <w:rPr>
          <w:b/>
          <w:bCs/>
        </w:rPr>
        <w:t xml:space="preserve">sobrepõe</w:t>
      </w:r>
      <w:r>
        <w:t xml:space="preserve"> </w:t>
      </w:r>
      <w:r>
        <w:t xml:space="preserve">estes prazos quando aplicável — fluxo em</w:t>
      </w:r>
      <w:r>
        <w:t xml:space="preserve"> </w:t>
      </w:r>
      <w:r>
        <w:rPr>
          <w:rStyle w:val="VerbatimChar"/>
        </w:rPr>
        <w:t xml:space="preserve">docs/legal/SOP_DIREITOS_TITULAR_LGPD.md</w:t>
      </w:r>
      <w:r>
        <w:t xml:space="preserve">.</w:t>
      </w:r>
    </w:p>
    <w:bookmarkEnd w:id="11"/>
    <w:bookmarkStart w:id="12" w:name="implementação-técnica-referência-rápida"/>
    <w:p>
      <w:pPr>
        <w:pStyle w:val="Heading2"/>
      </w:pPr>
      <w:r>
        <w:t xml:space="preserve">Implementação técnica (referência rápida)</w:t>
      </w:r>
    </w:p>
    <w:p>
      <w:pPr>
        <w:pStyle w:val="Compact"/>
        <w:numPr>
          <w:ilvl w:val="0"/>
          <w:numId w:val="1003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_sentry_scrub_pii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(email/username/ip),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com chaves sensíveis.</w:t>
      </w:r>
    </w:p>
    <w:p>
      <w:pPr>
        <w:pStyle w:val="Compact"/>
        <w:numPr>
          <w:ilvl w:val="0"/>
          <w:numId w:val="1003"/>
        </w:numPr>
      </w:pPr>
      <w:r>
        <w:t xml:space="preserve">Browser:</w:t>
      </w:r>
      <w:r>
        <w:t xml:space="preserve"> </w:t>
      </w:r>
      <w:r>
        <w:rPr>
          <w:rStyle w:val="VerbatimChar"/>
        </w:rPr>
        <w:t xml:space="preserve">sentryBrowserBeforeSend</w:t>
      </w:r>
      <w:r>
        <w:t xml:space="preserve"> </w:t>
      </w:r>
      <w:r>
        <w:t xml:space="preserve">— mesma lógica para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em rotas — structlog (</w:t>
      </w:r>
      <w:r>
        <w:rPr>
          <w:rStyle w:val="VerbatimChar"/>
        </w:rPr>
        <w:t xml:space="preserve">security-hardening</w:t>
      </w:r>
      <w:r>
        <w:t xml:space="preserve">).</w:t>
      </w:r>
    </w:p>
    <w:bookmarkEnd w:id="12"/>
    <w:bookmarkStart w:id="13" w:name="próximo-passo"/>
    <w:p>
      <w:pPr>
        <w:pStyle w:val="Heading2"/>
      </w:pPr>
      <w:r>
        <w:t xml:space="preserve">Próximo passo</w:t>
      </w:r>
    </w:p>
    <w:p>
      <w:pPr>
        <w:pStyle w:val="Compact"/>
        <w:numPr>
          <w:ilvl w:val="0"/>
          <w:numId w:val="1004"/>
        </w:numPr>
      </w:pPr>
      <w:r>
        <w:t xml:space="preserve">Rubricar na ata de go-live e no checklist H-015 após alinhamento DPO.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Retenção de logs e redaction de PII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